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5E077" w14:textId="77777777" w:rsidR="004A733C" w:rsidRDefault="004A733C" w:rsidP="004A733C">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Simple is Eco-Friendly but Complex is Effective: Inferences from Visual Complexity in Package Design</w:t>
      </w:r>
    </w:p>
    <w:p w14:paraId="7BA12432" w14:textId="77777777" w:rsidR="004A733C" w:rsidRDefault="004A733C" w:rsidP="004A733C">
      <w:pPr>
        <w:spacing w:after="0" w:line="480" w:lineRule="auto"/>
        <w:jc w:val="center"/>
        <w:rPr>
          <w:rFonts w:ascii="Times New Roman" w:eastAsia="Times New Roman" w:hAnsi="Times New Roman" w:cs="Times New Roman"/>
          <w:sz w:val="24"/>
          <w:szCs w:val="24"/>
        </w:rPr>
      </w:pPr>
      <w:bookmarkStart w:id="0" w:name="_xi92spw56r6e" w:colFirst="0" w:colLast="0"/>
      <w:bookmarkEnd w:id="0"/>
      <w:r>
        <w:rPr>
          <w:rFonts w:ascii="Times New Roman" w:eastAsia="Times New Roman" w:hAnsi="Times New Roman" w:cs="Times New Roman"/>
          <w:sz w:val="24"/>
          <w:szCs w:val="24"/>
        </w:rPr>
        <w:t>Soo Yon Ryu</w:t>
      </w:r>
      <w:r>
        <w:rPr>
          <w:rFonts w:ascii="Times New Roman" w:eastAsia="Times New Roman" w:hAnsi="Times New Roman" w:cs="Times New Roman"/>
          <w:vertAlign w:val="superscript"/>
        </w:rPr>
        <w:t>1</w:t>
      </w:r>
      <w:r>
        <w:rPr>
          <w:rFonts w:ascii="Times New Roman" w:eastAsia="Times New Roman" w:hAnsi="Times New Roman" w:cs="Times New Roman"/>
          <w:sz w:val="24"/>
          <w:szCs w:val="24"/>
        </w:rPr>
        <w:t>, Felipe M. Affonso</w:t>
      </w:r>
      <w:r>
        <w:rPr>
          <w:rFonts w:ascii="Times New Roman" w:eastAsia="Times New Roman" w:hAnsi="Times New Roman" w:cs="Times New Roman"/>
          <w:vertAlign w:val="superscript"/>
        </w:rPr>
        <w:t>2</w:t>
      </w:r>
      <w:r>
        <w:rPr>
          <w:rFonts w:ascii="Times New Roman" w:eastAsia="Times New Roman" w:hAnsi="Times New Roman" w:cs="Times New Roman"/>
          <w:sz w:val="24"/>
          <w:szCs w:val="24"/>
        </w:rPr>
        <w:t>, and Aner Sela</w:t>
      </w:r>
      <w:r>
        <w:rPr>
          <w:rFonts w:ascii="Times New Roman" w:eastAsia="Times New Roman" w:hAnsi="Times New Roman" w:cs="Times New Roman"/>
          <w:vertAlign w:val="superscript"/>
        </w:rPr>
        <w:t>3</w:t>
      </w:r>
    </w:p>
    <w:p w14:paraId="6FF692BD" w14:textId="77777777" w:rsidR="004A733C" w:rsidRDefault="004A733C" w:rsidP="004A733C">
      <w:pPr>
        <w:spacing w:after="0" w:line="480" w:lineRule="auto"/>
        <w:jc w:val="center"/>
        <w:rPr>
          <w:rFonts w:ascii="Times New Roman" w:eastAsia="Times New Roman" w:hAnsi="Times New Roman" w:cs="Times New Roman"/>
          <w:b/>
          <w:sz w:val="24"/>
          <w:szCs w:val="24"/>
        </w:rPr>
      </w:pPr>
    </w:p>
    <w:p w14:paraId="6168512C" w14:textId="77777777" w:rsidR="004A733C" w:rsidRDefault="004A733C" w:rsidP="004A733C">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vertAlign w:val="superscript"/>
        </w:rPr>
        <w:t xml:space="preserve">1 </w:t>
      </w:r>
      <w:r>
        <w:rPr>
          <w:rFonts w:ascii="Times New Roman" w:eastAsia="Times New Roman" w:hAnsi="Times New Roman" w:cs="Times New Roman"/>
          <w:sz w:val="24"/>
          <w:szCs w:val="24"/>
        </w:rPr>
        <w:t>Soo Yon Ryu (PhD, University of Florida)</w:t>
      </w:r>
    </w:p>
    <w:p w14:paraId="79FEF034" w14:textId="77777777" w:rsidR="004A733C" w:rsidRDefault="004A733C" w:rsidP="004A733C">
      <w:pPr>
        <w:spacing w:after="0"/>
        <w:jc w:val="center"/>
        <w:rPr>
          <w:rFonts w:ascii="Times New Roman" w:eastAsia="Times New Roman" w:hAnsi="Times New Roman" w:cs="Times New Roman"/>
          <w:sz w:val="24"/>
          <w:szCs w:val="24"/>
        </w:rPr>
      </w:pPr>
      <w:hyperlink r:id="rId6">
        <w:r>
          <w:rPr>
            <w:rFonts w:ascii="Times New Roman" w:eastAsia="Times New Roman" w:hAnsi="Times New Roman" w:cs="Times New Roman"/>
            <w:color w:val="0563C1"/>
            <w:sz w:val="24"/>
            <w:szCs w:val="24"/>
            <w:u w:val="single"/>
          </w:rPr>
          <w:t>sryu@wlu.edu</w:t>
        </w:r>
      </w:hyperlink>
      <w:r>
        <w:rPr>
          <w:rFonts w:ascii="Times New Roman" w:eastAsia="Times New Roman" w:hAnsi="Times New Roman" w:cs="Times New Roman"/>
          <w:sz w:val="24"/>
          <w:szCs w:val="24"/>
        </w:rPr>
        <w:br/>
        <w:t>The Williams School of Commerce, Economics, and Politics</w:t>
      </w:r>
    </w:p>
    <w:p w14:paraId="4451F852" w14:textId="77777777" w:rsidR="004A733C" w:rsidRDefault="004A733C" w:rsidP="004A73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Washington and Lee University</w:t>
      </w:r>
    </w:p>
    <w:p w14:paraId="17B03E2E" w14:textId="21885451" w:rsidR="004A733C" w:rsidRDefault="0077313A" w:rsidP="004A73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Williams School 131</w:t>
      </w:r>
      <w:r w:rsidR="004A733C">
        <w:rPr>
          <w:rFonts w:ascii="Times New Roman" w:eastAsia="Times New Roman" w:hAnsi="Times New Roman" w:cs="Times New Roman"/>
          <w:sz w:val="24"/>
          <w:szCs w:val="24"/>
        </w:rPr>
        <w:t>, Lexington, VA 24450, USA</w:t>
      </w:r>
      <w:r w:rsidR="004A733C">
        <w:rPr>
          <w:rFonts w:ascii="Times New Roman" w:eastAsia="Times New Roman" w:hAnsi="Times New Roman" w:cs="Times New Roman"/>
          <w:sz w:val="24"/>
          <w:szCs w:val="24"/>
        </w:rPr>
        <w:br/>
        <w:t>Phone: (</w:t>
      </w:r>
      <w:r>
        <w:rPr>
          <w:rFonts w:ascii="Times New Roman" w:eastAsia="Times New Roman" w:hAnsi="Times New Roman" w:cs="Times New Roman"/>
          <w:sz w:val="24"/>
          <w:szCs w:val="24"/>
        </w:rPr>
        <w:t>540</w:t>
      </w:r>
      <w:r w:rsidR="004A73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458</w:t>
      </w:r>
      <w:r w:rsidR="004A733C">
        <w:rPr>
          <w:rFonts w:ascii="Times New Roman" w:eastAsia="Times New Roman" w:hAnsi="Times New Roman" w:cs="Times New Roman"/>
          <w:sz w:val="24"/>
          <w:szCs w:val="24"/>
        </w:rPr>
        <w:t>-</w:t>
      </w:r>
      <w:r>
        <w:rPr>
          <w:rFonts w:ascii="Times New Roman" w:eastAsia="Times New Roman" w:hAnsi="Times New Roman" w:cs="Times New Roman"/>
          <w:sz w:val="24"/>
          <w:szCs w:val="24"/>
        </w:rPr>
        <w:t>4285</w:t>
      </w:r>
    </w:p>
    <w:p w14:paraId="5F4E1CC3" w14:textId="77777777" w:rsidR="004A733C" w:rsidRDefault="004A733C" w:rsidP="004A733C">
      <w:pPr>
        <w:spacing w:after="0" w:line="480" w:lineRule="auto"/>
        <w:jc w:val="center"/>
        <w:rPr>
          <w:rFonts w:ascii="Times New Roman" w:eastAsia="Times New Roman" w:hAnsi="Times New Roman" w:cs="Times New Roman"/>
          <w:sz w:val="24"/>
          <w:szCs w:val="24"/>
        </w:rPr>
      </w:pPr>
    </w:p>
    <w:p w14:paraId="52B24B91" w14:textId="77777777" w:rsidR="004A733C" w:rsidRDefault="004A733C" w:rsidP="004A733C">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vertAlign w:val="superscript"/>
        </w:rPr>
        <w:t xml:space="preserve">2 </w:t>
      </w:r>
      <w:r>
        <w:rPr>
          <w:rFonts w:ascii="Times New Roman" w:eastAsia="Times New Roman" w:hAnsi="Times New Roman" w:cs="Times New Roman"/>
          <w:sz w:val="24"/>
          <w:szCs w:val="24"/>
        </w:rPr>
        <w:t>Felipe M. Affonso (PhD, University of Florida)</w:t>
      </w:r>
    </w:p>
    <w:p w14:paraId="1D09D4A4" w14:textId="77777777" w:rsidR="004A733C" w:rsidRDefault="004A733C" w:rsidP="004A733C">
      <w:pPr>
        <w:spacing w:after="0"/>
        <w:jc w:val="center"/>
        <w:rPr>
          <w:rFonts w:ascii="Times New Roman" w:eastAsia="Times New Roman" w:hAnsi="Times New Roman" w:cs="Times New Roman"/>
          <w:sz w:val="24"/>
          <w:szCs w:val="24"/>
        </w:rPr>
      </w:pPr>
      <w:hyperlink r:id="rId7">
        <w:r>
          <w:rPr>
            <w:rFonts w:ascii="Times New Roman" w:eastAsia="Times New Roman" w:hAnsi="Times New Roman" w:cs="Times New Roman"/>
            <w:color w:val="0563C1"/>
            <w:sz w:val="24"/>
            <w:szCs w:val="24"/>
            <w:u w:val="single"/>
          </w:rPr>
          <w:t>felipe.affonso@okstate.edu</w:t>
        </w:r>
      </w:hyperlink>
    </w:p>
    <w:p w14:paraId="1D2F5EB0" w14:textId="77777777" w:rsidR="004A733C" w:rsidRDefault="004A733C" w:rsidP="004A73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School of Marketing &amp; International Business</w:t>
      </w:r>
    </w:p>
    <w:p w14:paraId="3D5047E0" w14:textId="77777777" w:rsidR="004A733C" w:rsidRDefault="004A733C" w:rsidP="004A73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Oklahoma State University</w:t>
      </w:r>
    </w:p>
    <w:p w14:paraId="4BE23038" w14:textId="77777777" w:rsidR="004A733C" w:rsidRDefault="004A733C" w:rsidP="004A73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316 Business Building, Stillwater, OK 74075, USA</w:t>
      </w:r>
    </w:p>
    <w:p w14:paraId="3F60B800" w14:textId="77777777" w:rsidR="004A733C" w:rsidRDefault="004A733C" w:rsidP="004A73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Phone: (405) 744-1311</w:t>
      </w:r>
    </w:p>
    <w:p w14:paraId="7C7FA1CD" w14:textId="77777777" w:rsidR="004A733C" w:rsidRDefault="004A733C" w:rsidP="004A733C">
      <w:pPr>
        <w:spacing w:after="0" w:line="480" w:lineRule="auto"/>
        <w:jc w:val="center"/>
        <w:rPr>
          <w:rFonts w:ascii="Times New Roman" w:eastAsia="Times New Roman" w:hAnsi="Times New Roman" w:cs="Times New Roman"/>
          <w:sz w:val="24"/>
          <w:szCs w:val="24"/>
        </w:rPr>
      </w:pPr>
    </w:p>
    <w:p w14:paraId="476F3274" w14:textId="77777777" w:rsidR="004A733C" w:rsidRDefault="004A733C" w:rsidP="004A733C">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vertAlign w:val="superscript"/>
        </w:rPr>
        <w:t xml:space="preserve">3 </w:t>
      </w:r>
      <w:r>
        <w:rPr>
          <w:rFonts w:ascii="Times New Roman" w:eastAsia="Times New Roman" w:hAnsi="Times New Roman" w:cs="Times New Roman"/>
          <w:sz w:val="24"/>
          <w:szCs w:val="24"/>
        </w:rPr>
        <w:t>Aner Sela (PhD, Stanford University)</w:t>
      </w:r>
    </w:p>
    <w:p w14:paraId="0FEF6515" w14:textId="77777777" w:rsidR="004A733C" w:rsidRDefault="004A733C" w:rsidP="004A733C">
      <w:pPr>
        <w:spacing w:after="0"/>
        <w:jc w:val="center"/>
        <w:rPr>
          <w:rFonts w:ascii="Times New Roman" w:eastAsia="Times New Roman" w:hAnsi="Times New Roman" w:cs="Times New Roman"/>
          <w:sz w:val="24"/>
          <w:szCs w:val="24"/>
        </w:rPr>
      </w:pPr>
      <w:hyperlink r:id="rId8">
        <w:r>
          <w:rPr>
            <w:rFonts w:ascii="Times New Roman" w:eastAsia="Times New Roman" w:hAnsi="Times New Roman" w:cs="Times New Roman"/>
            <w:color w:val="0563C1"/>
            <w:sz w:val="24"/>
            <w:szCs w:val="24"/>
            <w:u w:val="single"/>
          </w:rPr>
          <w:t>aner.sela@warrington.ufl.edu</w:t>
        </w:r>
      </w:hyperlink>
    </w:p>
    <w:p w14:paraId="6E05A168" w14:textId="77777777" w:rsidR="004A733C" w:rsidRDefault="004A733C" w:rsidP="004A73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Warrington College of Business</w:t>
      </w:r>
      <w:r>
        <w:rPr>
          <w:rFonts w:ascii="Times New Roman" w:eastAsia="Times New Roman" w:hAnsi="Times New Roman" w:cs="Times New Roman"/>
          <w:sz w:val="24"/>
          <w:szCs w:val="24"/>
        </w:rPr>
        <w:br/>
        <w:t>University of Florida</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Stuzin</w:t>
      </w:r>
      <w:proofErr w:type="spellEnd"/>
      <w:r>
        <w:rPr>
          <w:rFonts w:ascii="Times New Roman" w:eastAsia="Times New Roman" w:hAnsi="Times New Roman" w:cs="Times New Roman"/>
          <w:sz w:val="24"/>
          <w:szCs w:val="24"/>
        </w:rPr>
        <w:t xml:space="preserve"> Hall </w:t>
      </w:r>
      <w:proofErr w:type="spellStart"/>
      <w:r>
        <w:rPr>
          <w:rFonts w:ascii="Times New Roman" w:eastAsia="Times New Roman" w:hAnsi="Times New Roman" w:cs="Times New Roman"/>
          <w:sz w:val="24"/>
          <w:szCs w:val="24"/>
        </w:rPr>
        <w:t>249D</w:t>
      </w:r>
      <w:proofErr w:type="spellEnd"/>
      <w:r>
        <w:rPr>
          <w:rFonts w:ascii="Times New Roman" w:eastAsia="Times New Roman" w:hAnsi="Times New Roman" w:cs="Times New Roman"/>
          <w:sz w:val="24"/>
          <w:szCs w:val="24"/>
        </w:rPr>
        <w:t xml:space="preserve"> Gainesville, FL 32611, USA</w:t>
      </w:r>
      <w:r>
        <w:rPr>
          <w:rFonts w:ascii="Times New Roman" w:eastAsia="Times New Roman" w:hAnsi="Times New Roman" w:cs="Times New Roman"/>
          <w:sz w:val="24"/>
          <w:szCs w:val="24"/>
        </w:rPr>
        <w:br/>
        <w:t>Phone: (352) 273-3271</w:t>
      </w:r>
    </w:p>
    <w:p w14:paraId="690DF742" w14:textId="77777777" w:rsidR="004A733C" w:rsidRDefault="004A733C" w:rsidP="004A733C">
      <w:pPr>
        <w:spacing w:after="0" w:line="480" w:lineRule="auto"/>
        <w:rPr>
          <w:rFonts w:ascii="Times New Roman" w:eastAsia="Times New Roman" w:hAnsi="Times New Roman" w:cs="Times New Roman"/>
          <w:sz w:val="24"/>
          <w:szCs w:val="24"/>
        </w:rPr>
      </w:pPr>
    </w:p>
    <w:p w14:paraId="57D38F25" w14:textId="77777777" w:rsidR="004A733C" w:rsidRDefault="004A733C" w:rsidP="004A733C">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work was supported by resources from the University of Florida. All studies in this manuscript were approved by an Institutional Review Board. All authors have access to the source raw data on Qualtrics. The exact stimuli (Qualtrics .</w:t>
      </w:r>
      <w:proofErr w:type="spellStart"/>
      <w:r>
        <w:rPr>
          <w:rFonts w:ascii="Times New Roman" w:eastAsia="Times New Roman" w:hAnsi="Times New Roman" w:cs="Times New Roman"/>
          <w:sz w:val="24"/>
          <w:szCs w:val="24"/>
        </w:rPr>
        <w:t>qsf</w:t>
      </w:r>
      <w:proofErr w:type="spellEnd"/>
      <w:r>
        <w:rPr>
          <w:rFonts w:ascii="Times New Roman" w:eastAsia="Times New Roman" w:hAnsi="Times New Roman" w:cs="Times New Roman"/>
          <w:sz w:val="24"/>
          <w:szCs w:val="24"/>
        </w:rPr>
        <w:t xml:space="preserve"> file), raw data, and code to reproduce all analyses are publicly available at the Open Science Framework (</w:t>
      </w:r>
      <w:hyperlink r:id="rId9">
        <w:r>
          <w:rPr>
            <w:rFonts w:ascii="Times New Roman" w:eastAsia="Times New Roman" w:hAnsi="Times New Roman" w:cs="Times New Roman"/>
            <w:color w:val="0563C1"/>
            <w:sz w:val="24"/>
            <w:szCs w:val="24"/>
            <w:u w:val="single"/>
          </w:rPr>
          <w:t>https://osf.io/h6mk7/?view_only=52d694ee66754a8690ceb221d646052f</w:t>
        </w:r>
      </w:hyperlink>
      <w:r>
        <w:rPr>
          <w:rFonts w:ascii="Times New Roman" w:eastAsia="Times New Roman" w:hAnsi="Times New Roman" w:cs="Times New Roman"/>
          <w:sz w:val="24"/>
          <w:szCs w:val="24"/>
        </w:rPr>
        <w:t xml:space="preserve">). All notes, images, </w:t>
      </w:r>
      <w:r>
        <w:rPr>
          <w:rFonts w:ascii="Times New Roman" w:eastAsia="Times New Roman" w:hAnsi="Times New Roman" w:cs="Times New Roman"/>
          <w:sz w:val="24"/>
          <w:szCs w:val="24"/>
        </w:rPr>
        <w:lastRenderedPageBreak/>
        <w:t xml:space="preserve">and data are currently stored in a project folder on a cloud storage service at the authors’ universities. Supplementary materials are included in the web appendix accompanying the online version of this article. </w:t>
      </w:r>
    </w:p>
    <w:p w14:paraId="6A27550E" w14:textId="4C1423BC" w:rsidR="004A733C" w:rsidRDefault="004A733C" w:rsidP="004A733C">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article is based on part of the first author’s doctoral dissertation</w:t>
      </w:r>
      <w:r w:rsidR="00865FFF">
        <w:rPr>
          <w:rFonts w:ascii="Times New Roman" w:eastAsia="Times New Roman" w:hAnsi="Times New Roman" w:cs="Times New Roman"/>
          <w:sz w:val="24"/>
          <w:szCs w:val="24"/>
        </w:rPr>
        <w:t xml:space="preserve"> at University of Florida</w:t>
      </w:r>
      <w:r w:rsidR="003C683C">
        <w:rPr>
          <w:rFonts w:ascii="Times New Roman" w:eastAsia="Times New Roman" w:hAnsi="Times New Roman" w:cs="Times New Roman"/>
          <w:sz w:val="24"/>
          <w:szCs w:val="24"/>
        </w:rPr>
        <w:t>, co-chaired by the third author</w:t>
      </w:r>
      <w:r>
        <w:rPr>
          <w:rFonts w:ascii="Times New Roman" w:eastAsia="Times New Roman" w:hAnsi="Times New Roman" w:cs="Times New Roman"/>
          <w:sz w:val="24"/>
          <w:szCs w:val="24"/>
        </w:rPr>
        <w:t xml:space="preserve">. Correspondence concerning this article should be addressed to Soo Yon Ryu, The Williams School of Commerce, Economics, and Politics, Washington and Lee University, VA 24450, USA. Email: </w:t>
      </w:r>
      <w:hyperlink r:id="rId10">
        <w:r>
          <w:rPr>
            <w:rFonts w:ascii="Times New Roman" w:eastAsia="Times New Roman" w:hAnsi="Times New Roman" w:cs="Times New Roman"/>
            <w:color w:val="0563C1"/>
            <w:sz w:val="24"/>
            <w:szCs w:val="24"/>
            <w:u w:val="single"/>
          </w:rPr>
          <w:t>sryu@wlu.edu</w:t>
        </w:r>
      </w:hyperlink>
      <w:r>
        <w:rPr>
          <w:rFonts w:ascii="Times New Roman" w:eastAsia="Times New Roman" w:hAnsi="Times New Roman" w:cs="Times New Roman"/>
          <w:sz w:val="24"/>
          <w:szCs w:val="24"/>
        </w:rPr>
        <w:t xml:space="preserve">. </w:t>
      </w:r>
    </w:p>
    <w:p w14:paraId="01F6F965" w14:textId="77777777" w:rsidR="00391B4B" w:rsidRPr="004A733C" w:rsidRDefault="00391B4B">
      <w:pPr>
        <w:spacing w:after="0" w:line="480" w:lineRule="auto"/>
        <w:rPr>
          <w:rFonts w:ascii="Times New Roman" w:eastAsia="Times New Roman" w:hAnsi="Times New Roman" w:cs="Times New Roman"/>
          <w:b/>
          <w:sz w:val="24"/>
          <w:szCs w:val="24"/>
        </w:rPr>
      </w:pPr>
    </w:p>
    <w:p w14:paraId="7ACA3C1A"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B70BC4A" w14:textId="77777777" w:rsidR="00391B4B" w:rsidRDefault="00391B4B">
      <w:pPr>
        <w:spacing w:after="0" w:line="480" w:lineRule="auto"/>
        <w:jc w:val="center"/>
        <w:rPr>
          <w:rFonts w:ascii="Times New Roman" w:eastAsia="Times New Roman" w:hAnsi="Times New Roman" w:cs="Times New Roman"/>
          <w:b/>
          <w:sz w:val="24"/>
          <w:szCs w:val="24"/>
        </w:rPr>
      </w:pPr>
    </w:p>
    <w:p w14:paraId="6EF4439D" w14:textId="77777777" w:rsidR="00391B4B" w:rsidRDefault="006E2B95">
      <w:pPr>
        <w:spacing w:after="0" w:line="480" w:lineRule="auto"/>
        <w:rPr>
          <w:rFonts w:ascii="Times New Roman" w:eastAsia="Times New Roman" w:hAnsi="Times New Roman" w:cs="Times New Roman"/>
          <w:sz w:val="24"/>
          <w:szCs w:val="24"/>
        </w:rPr>
      </w:pPr>
      <w:bookmarkStart w:id="1" w:name="_nv36mijy5xin" w:colFirst="0" w:colLast="0"/>
      <w:bookmarkEnd w:id="1"/>
      <w:r>
        <w:rPr>
          <w:rFonts w:ascii="Times New Roman" w:eastAsia="Times New Roman" w:hAnsi="Times New Roman" w:cs="Times New Roman"/>
          <w:sz w:val="24"/>
          <w:szCs w:val="24"/>
        </w:rPr>
        <w:t xml:space="preserve">Package design is an important form of point-of-purchase advertising which often conveys information about product characteristics, but can the mere level of its visual complexity produce specific inferences? We suggest that consumers prefer products with visually complex package designs when product efficacy considerations are salient but prefer products with visually simple designs when eco-friendliness considerations are salient. This happens because package design complexity connotes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tangible resources used to produce the product, and consumers associate a low (vs. high)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tangible resources with eco-friendliness (vs. efficacy). Our findings extend recent research on design perception and have important practical implications for marketers and product designers. Advertising practitioners can benefit from our findings by understanding when minimalism is valuable, when it is not, and how to strategically use different levels of visual complexity to influence consumer perceptions.</w:t>
      </w:r>
    </w:p>
    <w:p w14:paraId="2BD2CAFC" w14:textId="77777777" w:rsidR="00391B4B" w:rsidRDefault="00391B4B">
      <w:pPr>
        <w:spacing w:after="0" w:line="480" w:lineRule="auto"/>
        <w:rPr>
          <w:rFonts w:ascii="Times New Roman" w:eastAsia="Times New Roman" w:hAnsi="Times New Roman" w:cs="Times New Roman"/>
          <w:sz w:val="24"/>
          <w:szCs w:val="24"/>
        </w:rPr>
      </w:pPr>
    </w:p>
    <w:p w14:paraId="50C1DD11"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Keywords: </w:t>
      </w:r>
      <w:r>
        <w:rPr>
          <w:rFonts w:ascii="Times New Roman" w:eastAsia="Times New Roman" w:hAnsi="Times New Roman" w:cs="Times New Roman"/>
          <w:sz w:val="24"/>
          <w:szCs w:val="24"/>
        </w:rPr>
        <w:t xml:space="preserve">aesthetics, visual complexity, minimalism, package advertising, eco-friendliness </w:t>
      </w:r>
    </w:p>
    <w:p w14:paraId="384AC5DE" w14:textId="63E8F83A"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Package design is an important form of point-of-purchase advertising, often used to communicate brand claims and attributes to consumers. Beyond explicit textual information, visual elements such as package shape, color, imagery, and graphics often communicate information and influence consumers’ perceptions of product quality, composition, and brand positioning (</w:t>
      </w:r>
      <w:proofErr w:type="spellStart"/>
      <w:r>
        <w:rPr>
          <w:rFonts w:ascii="Times New Roman" w:eastAsia="Times New Roman" w:hAnsi="Times New Roman" w:cs="Times New Roman"/>
          <w:sz w:val="24"/>
          <w:szCs w:val="24"/>
        </w:rPr>
        <w:t>Hagtvedt</w:t>
      </w:r>
      <w:proofErr w:type="spellEnd"/>
      <w:r>
        <w:rPr>
          <w:rFonts w:ascii="Times New Roman" w:eastAsia="Times New Roman" w:hAnsi="Times New Roman" w:cs="Times New Roman"/>
          <w:sz w:val="24"/>
          <w:szCs w:val="24"/>
        </w:rPr>
        <w:t xml:space="preserve"> and Patrick 2008; </w:t>
      </w:r>
      <w:r w:rsidR="00B05013">
        <w:rPr>
          <w:rFonts w:ascii="Times New Roman" w:eastAsia="Times New Roman" w:hAnsi="Times New Roman" w:cs="Times New Roman"/>
          <w:sz w:val="24"/>
          <w:szCs w:val="24"/>
        </w:rPr>
        <w:t xml:space="preserve">Nikulina et al. 2024; </w:t>
      </w:r>
      <w:r>
        <w:rPr>
          <w:rFonts w:ascii="Times New Roman" w:eastAsia="Times New Roman" w:hAnsi="Times New Roman" w:cs="Times New Roman"/>
          <w:sz w:val="24"/>
          <w:szCs w:val="24"/>
        </w:rPr>
        <w:t xml:space="preserve">Orth and </w:t>
      </w:r>
      <w:proofErr w:type="spellStart"/>
      <w:r>
        <w:rPr>
          <w:rFonts w:ascii="Times New Roman" w:eastAsia="Times New Roman" w:hAnsi="Times New Roman" w:cs="Times New Roman"/>
          <w:sz w:val="24"/>
          <w:szCs w:val="24"/>
        </w:rPr>
        <w:t>Malkewitz</w:t>
      </w:r>
      <w:proofErr w:type="spellEnd"/>
      <w:r>
        <w:rPr>
          <w:rFonts w:ascii="Times New Roman" w:eastAsia="Times New Roman" w:hAnsi="Times New Roman" w:cs="Times New Roman"/>
          <w:sz w:val="24"/>
          <w:szCs w:val="24"/>
        </w:rPr>
        <w:t xml:space="preserve"> 2008). But could the mere level of visual complexity vs. simplicity of product packaging, independent of the content of any graphics or images, influence consumer inferences? If so, how?</w:t>
      </w:r>
    </w:p>
    <w:p w14:paraId="2795B6AF" w14:textId="7AC67539"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growing body of research shows that consumers draw inferences from package design’s visual complexity. </w:t>
      </w:r>
      <w:r w:rsidR="002A49E0">
        <w:rPr>
          <w:rFonts w:ascii="Times New Roman" w:eastAsia="Times New Roman" w:hAnsi="Times New Roman" w:cs="Times New Roman"/>
          <w:sz w:val="24"/>
          <w:szCs w:val="24"/>
        </w:rPr>
        <w:t xml:space="preserve">Visually simple </w:t>
      </w:r>
      <w:r>
        <w:rPr>
          <w:rFonts w:ascii="Times New Roman" w:eastAsia="Times New Roman" w:hAnsi="Times New Roman" w:cs="Times New Roman"/>
          <w:sz w:val="24"/>
          <w:szCs w:val="24"/>
        </w:rPr>
        <w:t>designs suggest healthiness (He, Li, and Chen 202</w:t>
      </w:r>
      <w:r w:rsidR="00300A4E">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Ton, Smith, and Sevilla 2024), masculinity (Chen et al. 2025), authenticity (Wang et al. 2023), and modernity (Favier, </w:t>
      </w:r>
      <w:proofErr w:type="spellStart"/>
      <w:r>
        <w:rPr>
          <w:rFonts w:ascii="Times New Roman" w:eastAsia="Times New Roman" w:hAnsi="Times New Roman" w:cs="Times New Roman"/>
          <w:sz w:val="24"/>
          <w:szCs w:val="24"/>
        </w:rPr>
        <w:t>Celhay</w:t>
      </w:r>
      <w:proofErr w:type="spellEnd"/>
      <w:r>
        <w:rPr>
          <w:rFonts w:ascii="Times New Roman" w:eastAsia="Times New Roman" w:hAnsi="Times New Roman" w:cs="Times New Roman"/>
          <w:sz w:val="24"/>
          <w:szCs w:val="24"/>
        </w:rPr>
        <w:t>, &amp; Pantin-</w:t>
      </w:r>
      <w:proofErr w:type="spellStart"/>
      <w:r>
        <w:rPr>
          <w:rFonts w:ascii="Times New Roman" w:eastAsia="Times New Roman" w:hAnsi="Times New Roman" w:cs="Times New Roman"/>
          <w:sz w:val="24"/>
          <w:szCs w:val="24"/>
        </w:rPr>
        <w:t>Sohier</w:t>
      </w:r>
      <w:proofErr w:type="spellEnd"/>
      <w:r>
        <w:rPr>
          <w:rFonts w:ascii="Times New Roman" w:eastAsia="Times New Roman" w:hAnsi="Times New Roman" w:cs="Times New Roman"/>
          <w:sz w:val="24"/>
          <w:szCs w:val="24"/>
        </w:rPr>
        <w:t xml:space="preserve"> 2019), while </w:t>
      </w:r>
      <w:r w:rsidR="002A49E0">
        <w:rPr>
          <w:rFonts w:ascii="Times New Roman" w:eastAsia="Times New Roman" w:hAnsi="Times New Roman" w:cs="Times New Roman"/>
          <w:sz w:val="24"/>
          <w:szCs w:val="24"/>
        </w:rPr>
        <w:t xml:space="preserve">visually </w:t>
      </w:r>
      <w:r>
        <w:rPr>
          <w:rFonts w:ascii="Times New Roman" w:eastAsia="Times New Roman" w:hAnsi="Times New Roman" w:cs="Times New Roman"/>
          <w:sz w:val="24"/>
          <w:szCs w:val="24"/>
        </w:rPr>
        <w:t xml:space="preserve">complex designs seem costlier (Min, Liu, and Anderson 2025) and less goal-focused (Chen et al. 2023). We extend this body of work by showing that the inferences consumers draw from package </w:t>
      </w:r>
      <w:r w:rsidR="002A49E0">
        <w:rPr>
          <w:rFonts w:ascii="Times New Roman" w:eastAsia="Times New Roman" w:hAnsi="Times New Roman" w:cs="Times New Roman"/>
          <w:sz w:val="24"/>
          <w:szCs w:val="24"/>
        </w:rPr>
        <w:t xml:space="preserve">visual </w:t>
      </w:r>
      <w:r>
        <w:rPr>
          <w:rFonts w:ascii="Times New Roman" w:eastAsia="Times New Roman" w:hAnsi="Times New Roman" w:cs="Times New Roman"/>
          <w:sz w:val="24"/>
          <w:szCs w:val="24"/>
        </w:rPr>
        <w:t xml:space="preserve">complexity, and consequently their preferences, are malleable and dependent on consumers’ salient evaluation criteria and lay theories. As a result, the same degree of </w:t>
      </w:r>
      <w:r w:rsidR="002A49E0">
        <w:rPr>
          <w:rFonts w:ascii="Times New Roman" w:eastAsia="Times New Roman" w:hAnsi="Times New Roman" w:cs="Times New Roman"/>
          <w:sz w:val="24"/>
          <w:szCs w:val="24"/>
        </w:rPr>
        <w:t xml:space="preserve">visual </w:t>
      </w:r>
      <w:r>
        <w:rPr>
          <w:rFonts w:ascii="Times New Roman" w:eastAsia="Times New Roman" w:hAnsi="Times New Roman" w:cs="Times New Roman"/>
          <w:sz w:val="24"/>
          <w:szCs w:val="24"/>
        </w:rPr>
        <w:t xml:space="preserve">complexity can drive preferences in opposite directions. We propose and find that consumers prefer products with visually complex </w:t>
      </w:r>
      <w:r w:rsidR="002A49E0">
        <w:rPr>
          <w:rFonts w:ascii="Times New Roman" w:eastAsia="Times New Roman" w:hAnsi="Times New Roman" w:cs="Times New Roman"/>
          <w:sz w:val="24"/>
          <w:szCs w:val="24"/>
        </w:rPr>
        <w:t xml:space="preserve">package </w:t>
      </w:r>
      <w:r>
        <w:rPr>
          <w:rFonts w:ascii="Times New Roman" w:eastAsia="Times New Roman" w:hAnsi="Times New Roman" w:cs="Times New Roman"/>
          <w:sz w:val="24"/>
          <w:szCs w:val="24"/>
        </w:rPr>
        <w:t xml:space="preserve">designs when an efficacy criterion is </w:t>
      </w:r>
      <w:proofErr w:type="gramStart"/>
      <w:r>
        <w:rPr>
          <w:rFonts w:ascii="Times New Roman" w:eastAsia="Times New Roman" w:hAnsi="Times New Roman" w:cs="Times New Roman"/>
          <w:sz w:val="24"/>
          <w:szCs w:val="24"/>
        </w:rPr>
        <w:t>salient, but</w:t>
      </w:r>
      <w:proofErr w:type="gramEnd"/>
      <w:r>
        <w:rPr>
          <w:rFonts w:ascii="Times New Roman" w:eastAsia="Times New Roman" w:hAnsi="Times New Roman" w:cs="Times New Roman"/>
          <w:sz w:val="24"/>
          <w:szCs w:val="24"/>
        </w:rPr>
        <w:t xml:space="preserve"> prefer visually simple </w:t>
      </w:r>
      <w:r w:rsidR="002A49E0">
        <w:rPr>
          <w:rFonts w:ascii="Times New Roman" w:eastAsia="Times New Roman" w:hAnsi="Times New Roman" w:cs="Times New Roman"/>
          <w:sz w:val="24"/>
          <w:szCs w:val="24"/>
        </w:rPr>
        <w:t xml:space="preserve">package </w:t>
      </w:r>
      <w:r>
        <w:rPr>
          <w:rFonts w:ascii="Times New Roman" w:eastAsia="Times New Roman" w:hAnsi="Times New Roman" w:cs="Times New Roman"/>
          <w:sz w:val="24"/>
          <w:szCs w:val="24"/>
        </w:rPr>
        <w:t xml:space="preserve">designs when an eco-friendliness criterion is salient. These shifts occur because consumers use visual complexity as a cue for the amount of manufacturing resources used to make the product: </w:t>
      </w:r>
      <w:r w:rsidR="002A49E0">
        <w:rPr>
          <w:rFonts w:ascii="Times New Roman" w:eastAsia="Times New Roman" w:hAnsi="Times New Roman" w:cs="Times New Roman"/>
          <w:sz w:val="24"/>
          <w:szCs w:val="24"/>
        </w:rPr>
        <w:t xml:space="preserve">visually </w:t>
      </w:r>
      <w:r>
        <w:rPr>
          <w:rFonts w:ascii="Times New Roman" w:eastAsia="Times New Roman" w:hAnsi="Times New Roman" w:cs="Times New Roman"/>
          <w:sz w:val="24"/>
          <w:szCs w:val="24"/>
        </w:rPr>
        <w:t xml:space="preserve">complex designs signal more resources, implying higher efficacy but lower eco-friendliness, while the opposite is true for </w:t>
      </w:r>
      <w:r w:rsidR="002A49E0">
        <w:rPr>
          <w:rFonts w:ascii="Times New Roman" w:eastAsia="Times New Roman" w:hAnsi="Times New Roman" w:cs="Times New Roman"/>
          <w:sz w:val="24"/>
          <w:szCs w:val="24"/>
        </w:rPr>
        <w:t xml:space="preserve">visually </w:t>
      </w:r>
      <w:r>
        <w:rPr>
          <w:rFonts w:ascii="Times New Roman" w:eastAsia="Times New Roman" w:hAnsi="Times New Roman" w:cs="Times New Roman"/>
          <w:sz w:val="24"/>
          <w:szCs w:val="24"/>
        </w:rPr>
        <w:t>simple designs.</w:t>
      </w:r>
    </w:p>
    <w:p w14:paraId="358E13AB"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contributes to advertising and consumer behavior scholarship by showing how packaging visual complexity systematically shapes consumer inferences about non-visual </w:t>
      </w:r>
      <w:r>
        <w:rPr>
          <w:rFonts w:ascii="Times New Roman" w:eastAsia="Times New Roman" w:hAnsi="Times New Roman" w:cs="Times New Roman"/>
          <w:sz w:val="24"/>
          <w:szCs w:val="24"/>
        </w:rPr>
        <w:lastRenderedPageBreak/>
        <w:t xml:space="preserve">product attributes such as manufacturing processes, and by highlighting the roles of salient evaluation criteria and consumer lay theories in these effects. We test our predictions in seven studies (six preregistered) across multiple product categories, including some involving consequential choices. We conclude with implications for advertisers and product designers. </w:t>
      </w:r>
    </w:p>
    <w:p w14:paraId="26955486" w14:textId="77777777" w:rsidR="00391B4B" w:rsidRDefault="00391B4B">
      <w:pPr>
        <w:spacing w:after="0" w:line="480" w:lineRule="auto"/>
        <w:ind w:firstLine="720"/>
        <w:rPr>
          <w:rFonts w:ascii="Times New Roman" w:eastAsia="Times New Roman" w:hAnsi="Times New Roman" w:cs="Times New Roman"/>
          <w:sz w:val="24"/>
          <w:szCs w:val="24"/>
        </w:rPr>
      </w:pPr>
    </w:p>
    <w:p w14:paraId="49D86482" w14:textId="77777777" w:rsidR="00391B4B" w:rsidRDefault="006E2B95">
      <w:pPr>
        <w:spacing w:after="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Theoretical background</w:t>
      </w:r>
    </w:p>
    <w:p w14:paraId="0D94A22D" w14:textId="77777777" w:rsidR="00391B4B" w:rsidRDefault="00391B4B">
      <w:pPr>
        <w:spacing w:after="0" w:line="480" w:lineRule="auto"/>
        <w:rPr>
          <w:rFonts w:ascii="Times New Roman" w:eastAsia="Times New Roman" w:hAnsi="Times New Roman" w:cs="Times New Roman"/>
          <w:b/>
          <w:sz w:val="28"/>
          <w:szCs w:val="28"/>
        </w:rPr>
      </w:pPr>
    </w:p>
    <w:p w14:paraId="1A1E4EC0" w14:textId="2A8C1487" w:rsidR="00391B4B" w:rsidRDefault="00CD03F7">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Defining visual </w:t>
      </w:r>
      <w:r w:rsidR="006E2B95">
        <w:rPr>
          <w:rFonts w:ascii="Times New Roman" w:eastAsia="Times New Roman" w:hAnsi="Times New Roman" w:cs="Times New Roman"/>
          <w:b/>
          <w:sz w:val="24"/>
          <w:szCs w:val="24"/>
        </w:rPr>
        <w:t>complexity in package design</w:t>
      </w:r>
    </w:p>
    <w:p w14:paraId="17BFCA49" w14:textId="77777777" w:rsidR="00391B4B" w:rsidRDefault="00391B4B">
      <w:pPr>
        <w:spacing w:after="0" w:line="480" w:lineRule="auto"/>
        <w:ind w:firstLine="720"/>
        <w:rPr>
          <w:rFonts w:ascii="Times New Roman" w:eastAsia="Times New Roman" w:hAnsi="Times New Roman" w:cs="Times New Roman"/>
          <w:sz w:val="24"/>
          <w:szCs w:val="24"/>
        </w:rPr>
      </w:pPr>
    </w:p>
    <w:p w14:paraId="33BFFE47" w14:textId="77777777" w:rsidR="00391B4B" w:rsidRDefault="006E2B95">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advertising literature has long recognized that visual elements serve not just as attention-grabbing devices but as sophisticated rhetorical tools that communicate meaning (McQuarrie and Mick 1999; Scott 1994). This principle is particularly relevant for package design, which functions as a critical form of point-of-purchase advertising. At this final touchpoint before a choice is made, the package must effectively convey brand claims and product attributes, often shaping consumer inferences and choice (Orth and </w:t>
      </w:r>
      <w:proofErr w:type="spellStart"/>
      <w:r>
        <w:rPr>
          <w:rFonts w:ascii="Times New Roman" w:eastAsia="Times New Roman" w:hAnsi="Times New Roman" w:cs="Times New Roman"/>
          <w:sz w:val="24"/>
          <w:szCs w:val="24"/>
        </w:rPr>
        <w:t>Malkewitz</w:t>
      </w:r>
      <w:proofErr w:type="spellEnd"/>
      <w:r>
        <w:rPr>
          <w:rFonts w:ascii="Times New Roman" w:eastAsia="Times New Roman" w:hAnsi="Times New Roman" w:cs="Times New Roman"/>
          <w:sz w:val="24"/>
          <w:szCs w:val="24"/>
        </w:rPr>
        <w:t xml:space="preserve"> 2008; Zhang et al. 2025). </w:t>
      </w:r>
    </w:p>
    <w:p w14:paraId="678AC6A1" w14:textId="12DFD280" w:rsidR="00391B4B" w:rsidRPr="00A67D3E" w:rsidRDefault="006E2B95">
      <w:pPr>
        <w:tabs>
          <w:tab w:val="left" w:pos="72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67D3E">
        <w:rPr>
          <w:rFonts w:ascii="Times New Roman" w:eastAsia="Times New Roman" w:hAnsi="Times New Roman" w:cs="Times New Roman"/>
          <w:sz w:val="24"/>
          <w:szCs w:val="24"/>
        </w:rPr>
        <w:t>One important characteristic of any design is its level of visual complexity, a fundamental dimension that characterizes visual stimuli (</w:t>
      </w:r>
      <w:proofErr w:type="spellStart"/>
      <w:r w:rsidRPr="00A67D3E">
        <w:rPr>
          <w:rFonts w:ascii="Times New Roman" w:eastAsia="Times New Roman" w:hAnsi="Times New Roman" w:cs="Times New Roman"/>
          <w:sz w:val="24"/>
          <w:szCs w:val="24"/>
        </w:rPr>
        <w:t>Berlyne</w:t>
      </w:r>
      <w:proofErr w:type="spellEnd"/>
      <w:r w:rsidRPr="00A67D3E">
        <w:rPr>
          <w:rFonts w:ascii="Times New Roman" w:eastAsia="Times New Roman" w:hAnsi="Times New Roman" w:cs="Times New Roman"/>
          <w:sz w:val="24"/>
          <w:szCs w:val="24"/>
        </w:rPr>
        <w:t xml:space="preserve"> </w:t>
      </w:r>
      <w:r w:rsidR="00300A4E">
        <w:rPr>
          <w:rFonts w:ascii="Times New Roman" w:eastAsia="Times New Roman" w:hAnsi="Times New Roman" w:cs="Times New Roman"/>
          <w:sz w:val="24"/>
          <w:szCs w:val="24"/>
        </w:rPr>
        <w:t xml:space="preserve">et al. </w:t>
      </w:r>
      <w:r w:rsidRPr="00A67D3E">
        <w:rPr>
          <w:rFonts w:ascii="Times New Roman" w:eastAsia="Times New Roman" w:hAnsi="Times New Roman" w:cs="Times New Roman"/>
          <w:sz w:val="24"/>
          <w:szCs w:val="24"/>
        </w:rPr>
        <w:t xml:space="preserve">1968; </w:t>
      </w:r>
      <w:proofErr w:type="spellStart"/>
      <w:r w:rsidRPr="00A67D3E">
        <w:rPr>
          <w:rFonts w:ascii="Times New Roman" w:eastAsia="Times New Roman" w:hAnsi="Times New Roman" w:cs="Times New Roman"/>
          <w:sz w:val="24"/>
          <w:szCs w:val="24"/>
        </w:rPr>
        <w:t>Donderi</w:t>
      </w:r>
      <w:proofErr w:type="spellEnd"/>
      <w:r w:rsidRPr="00A67D3E">
        <w:rPr>
          <w:rFonts w:ascii="Times New Roman" w:eastAsia="Times New Roman" w:hAnsi="Times New Roman" w:cs="Times New Roman"/>
          <w:sz w:val="24"/>
          <w:szCs w:val="24"/>
        </w:rPr>
        <w:t xml:space="preserve"> 2006). Visual complexity (vs. simplicity) can be defined objectively, based on the quantity and variety of content elements (e.g., lines, shapes, colors) that are physically present in a stimulus (</w:t>
      </w:r>
      <w:proofErr w:type="spellStart"/>
      <w:r w:rsidRPr="00A67D3E">
        <w:rPr>
          <w:rFonts w:ascii="Times New Roman" w:eastAsia="Times New Roman" w:hAnsi="Times New Roman" w:cs="Times New Roman"/>
          <w:sz w:val="24"/>
          <w:szCs w:val="24"/>
        </w:rPr>
        <w:t>Attneave</w:t>
      </w:r>
      <w:proofErr w:type="spellEnd"/>
      <w:r w:rsidRPr="00A67D3E">
        <w:rPr>
          <w:rFonts w:ascii="Times New Roman" w:eastAsia="Times New Roman" w:hAnsi="Times New Roman" w:cs="Times New Roman"/>
          <w:sz w:val="24"/>
          <w:szCs w:val="24"/>
        </w:rPr>
        <w:t xml:space="preserve"> 1957; Van Geert and </w:t>
      </w:r>
      <w:proofErr w:type="spellStart"/>
      <w:r w:rsidRPr="00A67D3E">
        <w:rPr>
          <w:rFonts w:ascii="Times New Roman" w:eastAsia="Times New Roman" w:hAnsi="Times New Roman" w:cs="Times New Roman"/>
          <w:sz w:val="24"/>
          <w:szCs w:val="24"/>
        </w:rPr>
        <w:t>Wagemans</w:t>
      </w:r>
      <w:proofErr w:type="spellEnd"/>
      <w:r w:rsidRPr="00A67D3E">
        <w:rPr>
          <w:rFonts w:ascii="Times New Roman" w:eastAsia="Times New Roman" w:hAnsi="Times New Roman" w:cs="Times New Roman"/>
          <w:sz w:val="24"/>
          <w:szCs w:val="24"/>
        </w:rPr>
        <w:t xml:space="preserve"> 2020). It can be operationalized using statistical image properties such as the number of changes in luminance or color across orientations (Braun et al. 2013; </w:t>
      </w:r>
      <w:proofErr w:type="spellStart"/>
      <w:r w:rsidRPr="00A67D3E">
        <w:rPr>
          <w:rFonts w:ascii="Times New Roman" w:eastAsia="Times New Roman" w:hAnsi="Times New Roman" w:cs="Times New Roman"/>
          <w:sz w:val="24"/>
          <w:szCs w:val="24"/>
        </w:rPr>
        <w:t>Chikhman</w:t>
      </w:r>
      <w:proofErr w:type="spellEnd"/>
      <w:r w:rsidRPr="00A67D3E">
        <w:rPr>
          <w:rFonts w:ascii="Times New Roman" w:eastAsia="Times New Roman" w:hAnsi="Times New Roman" w:cs="Times New Roman"/>
          <w:sz w:val="24"/>
          <w:szCs w:val="24"/>
        </w:rPr>
        <w:t xml:space="preserve"> et al. 2012; Tinio and Leder 2009), computerized measures like file size </w:t>
      </w:r>
      <w:r w:rsidRPr="00A67D3E">
        <w:rPr>
          <w:rFonts w:ascii="Times New Roman" w:eastAsia="Times New Roman" w:hAnsi="Times New Roman" w:cs="Times New Roman"/>
          <w:sz w:val="24"/>
          <w:szCs w:val="24"/>
        </w:rPr>
        <w:lastRenderedPageBreak/>
        <w:t>(Machado et al. 2015), or directly observable characteristics like the number of visual elements. It can also be defined subjectively, based on people’s intuitive judgments of how intricate a stimulus appears to be (</w:t>
      </w:r>
      <w:proofErr w:type="spellStart"/>
      <w:r w:rsidRPr="00A67D3E">
        <w:rPr>
          <w:rFonts w:ascii="Times New Roman" w:eastAsia="Times New Roman" w:hAnsi="Times New Roman" w:cs="Times New Roman"/>
          <w:sz w:val="24"/>
          <w:szCs w:val="24"/>
        </w:rPr>
        <w:t>Gartus</w:t>
      </w:r>
      <w:proofErr w:type="spellEnd"/>
      <w:r w:rsidRPr="00A67D3E">
        <w:rPr>
          <w:rFonts w:ascii="Times New Roman" w:eastAsia="Times New Roman" w:hAnsi="Times New Roman" w:cs="Times New Roman"/>
          <w:sz w:val="24"/>
          <w:szCs w:val="24"/>
        </w:rPr>
        <w:t xml:space="preserve"> and Leder 2017; Marin and Leder 2013; Nadal et al. 2010). While subjective perceptions of complexity are largely determined by objective complexity, they are also influenced by the conceptual meaning of the stimulus (Chipman and Mendelson 1979)</w:t>
      </w:r>
      <w:r w:rsidR="002A49E0" w:rsidRPr="003F0243">
        <w:rPr>
          <w:rFonts w:ascii="Times New Roman" w:eastAsia="Times New Roman" w:hAnsi="Times New Roman" w:cs="Times New Roman"/>
          <w:sz w:val="24"/>
          <w:szCs w:val="24"/>
        </w:rPr>
        <w:t xml:space="preserve"> and the relative complexity of a stimulus against its surroundings</w:t>
      </w:r>
      <w:r w:rsidRPr="00A67D3E">
        <w:rPr>
          <w:rFonts w:ascii="Times New Roman" w:eastAsia="Times New Roman" w:hAnsi="Times New Roman" w:cs="Times New Roman"/>
          <w:sz w:val="24"/>
          <w:szCs w:val="24"/>
        </w:rPr>
        <w:t xml:space="preserve">. </w:t>
      </w:r>
    </w:p>
    <w:p w14:paraId="51F2EA59" w14:textId="378AD781" w:rsidR="00391B4B" w:rsidRDefault="00D06C75">
      <w:pPr>
        <w:spacing w:after="0" w:line="480" w:lineRule="auto"/>
        <w:ind w:firstLine="720"/>
        <w:rPr>
          <w:rFonts w:ascii="Times New Roman" w:eastAsia="Times New Roman" w:hAnsi="Times New Roman" w:cs="Times New Roman"/>
          <w:sz w:val="24"/>
          <w:szCs w:val="24"/>
        </w:rPr>
      </w:pPr>
      <w:r w:rsidRPr="003F0243">
        <w:rPr>
          <w:rFonts w:ascii="Times New Roman" w:eastAsia="Times New Roman" w:hAnsi="Times New Roman" w:cs="Times New Roman"/>
          <w:sz w:val="24"/>
          <w:szCs w:val="24"/>
        </w:rPr>
        <w:t xml:space="preserve">We follow a </w:t>
      </w:r>
      <w:r w:rsidR="00D5554D" w:rsidRPr="003F0243">
        <w:rPr>
          <w:rFonts w:ascii="Times New Roman" w:eastAsia="Times New Roman" w:hAnsi="Times New Roman" w:cs="Times New Roman"/>
          <w:sz w:val="24"/>
          <w:szCs w:val="24"/>
        </w:rPr>
        <w:t>standard</w:t>
      </w:r>
      <w:r w:rsidRPr="003F0243">
        <w:rPr>
          <w:rFonts w:ascii="Times New Roman" w:eastAsia="Times New Roman" w:hAnsi="Times New Roman" w:cs="Times New Roman"/>
          <w:sz w:val="24"/>
          <w:szCs w:val="24"/>
        </w:rPr>
        <w:t xml:space="preserve"> definition of visual complexity from the advertising and branding literature, </w:t>
      </w:r>
      <w:r w:rsidR="00D5554D" w:rsidRPr="003F0243">
        <w:rPr>
          <w:rFonts w:ascii="Times New Roman" w:eastAsia="Times New Roman" w:hAnsi="Times New Roman" w:cs="Times New Roman"/>
          <w:sz w:val="24"/>
          <w:szCs w:val="24"/>
        </w:rPr>
        <w:t>which holds that</w:t>
      </w:r>
      <w:r w:rsidRPr="003F0243">
        <w:rPr>
          <w:rFonts w:ascii="Times New Roman" w:eastAsia="Times New Roman" w:hAnsi="Times New Roman" w:cs="Times New Roman"/>
          <w:sz w:val="24"/>
          <w:szCs w:val="24"/>
        </w:rPr>
        <w:t xml:space="preserve"> stimuli “are visually complex when they contain dense perceptual features (“feature complexity”) and/or when they have an elaborate creative design (“design complexity”)” (</w:t>
      </w:r>
      <w:r w:rsidR="00A67D3E" w:rsidRPr="003F0243">
        <w:rPr>
          <w:rFonts w:ascii="Times New Roman" w:eastAsia="Times New Roman" w:hAnsi="Times New Roman" w:cs="Times New Roman"/>
          <w:sz w:val="24"/>
          <w:szCs w:val="24"/>
        </w:rPr>
        <w:t xml:space="preserve">Nikulina et al. 2024; </w:t>
      </w:r>
      <w:r w:rsidRPr="003F0243">
        <w:rPr>
          <w:rFonts w:ascii="Times New Roman" w:eastAsia="Times New Roman" w:hAnsi="Times New Roman" w:cs="Times New Roman"/>
          <w:sz w:val="24"/>
          <w:szCs w:val="24"/>
        </w:rPr>
        <w:t xml:space="preserve">Pieters, Wedel, and Batra 2010; p. 48). This definition </w:t>
      </w:r>
      <w:r w:rsidR="00D5554D" w:rsidRPr="003F0243">
        <w:rPr>
          <w:rFonts w:ascii="Times New Roman" w:eastAsia="Times New Roman" w:hAnsi="Times New Roman" w:cs="Times New Roman"/>
          <w:sz w:val="24"/>
          <w:szCs w:val="24"/>
        </w:rPr>
        <w:t>implies</w:t>
      </w:r>
      <w:r w:rsidRPr="003F0243">
        <w:rPr>
          <w:rFonts w:ascii="Times New Roman" w:eastAsia="Times New Roman" w:hAnsi="Times New Roman" w:cs="Times New Roman"/>
          <w:sz w:val="24"/>
          <w:szCs w:val="24"/>
        </w:rPr>
        <w:t xml:space="preserve"> that</w:t>
      </w:r>
      <w:r w:rsidRPr="00A67D3E">
        <w:rPr>
          <w:rFonts w:ascii="Times New Roman" w:eastAsia="Times New Roman" w:hAnsi="Times New Roman" w:cs="Times New Roman"/>
          <w:sz w:val="24"/>
          <w:szCs w:val="24"/>
        </w:rPr>
        <w:t xml:space="preserve"> </w:t>
      </w:r>
      <w:r w:rsidR="006E2B95" w:rsidRPr="00A67D3E">
        <w:rPr>
          <w:rFonts w:ascii="Times New Roman" w:eastAsia="Times New Roman" w:hAnsi="Times New Roman" w:cs="Times New Roman"/>
          <w:sz w:val="24"/>
          <w:szCs w:val="24"/>
        </w:rPr>
        <w:t xml:space="preserve">visual complexity </w:t>
      </w:r>
      <w:r w:rsidRPr="003F0243">
        <w:rPr>
          <w:rFonts w:ascii="Times New Roman" w:eastAsia="Times New Roman" w:hAnsi="Times New Roman" w:cs="Times New Roman"/>
          <w:sz w:val="24"/>
          <w:szCs w:val="24"/>
        </w:rPr>
        <w:t>can be multiply determined</w:t>
      </w:r>
      <w:r w:rsidR="00D5554D" w:rsidRPr="003F0243">
        <w:rPr>
          <w:rFonts w:ascii="Times New Roman" w:eastAsia="Times New Roman" w:hAnsi="Times New Roman" w:cs="Times New Roman"/>
          <w:sz w:val="24"/>
          <w:szCs w:val="24"/>
        </w:rPr>
        <w:t xml:space="preserve">, </w:t>
      </w:r>
      <w:r w:rsidR="006E2B95" w:rsidRPr="00A67D3E">
        <w:rPr>
          <w:rFonts w:ascii="Times New Roman" w:eastAsia="Times New Roman" w:hAnsi="Times New Roman" w:cs="Times New Roman"/>
          <w:sz w:val="24"/>
          <w:szCs w:val="24"/>
        </w:rPr>
        <w:t xml:space="preserve">encompassing </w:t>
      </w:r>
      <w:r w:rsidR="00D5554D" w:rsidRPr="003F0243">
        <w:rPr>
          <w:rFonts w:ascii="Times New Roman" w:eastAsia="Times New Roman" w:hAnsi="Times New Roman" w:cs="Times New Roman"/>
          <w:sz w:val="24"/>
          <w:szCs w:val="24"/>
        </w:rPr>
        <w:t>factors such as</w:t>
      </w:r>
      <w:r w:rsidR="006E2B95" w:rsidRPr="00A67D3E">
        <w:rPr>
          <w:rFonts w:ascii="Times New Roman" w:eastAsia="Times New Roman" w:hAnsi="Times New Roman" w:cs="Times New Roman"/>
          <w:sz w:val="24"/>
          <w:szCs w:val="24"/>
        </w:rPr>
        <w:t xml:space="preserve"> symmetry, regularity, and the intricacy of individual elements</w:t>
      </w:r>
      <w:r w:rsidR="00D5554D" w:rsidRPr="003F0243">
        <w:rPr>
          <w:rFonts w:ascii="Times New Roman" w:eastAsia="Times New Roman" w:hAnsi="Times New Roman" w:cs="Times New Roman"/>
          <w:sz w:val="24"/>
          <w:szCs w:val="24"/>
        </w:rPr>
        <w:t>. W</w:t>
      </w:r>
      <w:r w:rsidR="006E2B95" w:rsidRPr="00A67D3E">
        <w:rPr>
          <w:rFonts w:ascii="Times New Roman" w:eastAsia="Times New Roman" w:hAnsi="Times New Roman" w:cs="Times New Roman"/>
          <w:sz w:val="24"/>
          <w:szCs w:val="24"/>
        </w:rPr>
        <w:t xml:space="preserve">e operationalize </w:t>
      </w:r>
      <w:r w:rsidR="00D5554D" w:rsidRPr="003F0243">
        <w:rPr>
          <w:rFonts w:ascii="Times New Roman" w:eastAsia="Times New Roman" w:hAnsi="Times New Roman" w:cs="Times New Roman"/>
          <w:sz w:val="24"/>
          <w:szCs w:val="24"/>
        </w:rPr>
        <w:t xml:space="preserve">visual complexity </w:t>
      </w:r>
      <w:r w:rsidR="006E2B95" w:rsidRPr="00A67D3E">
        <w:rPr>
          <w:rFonts w:ascii="Times New Roman" w:eastAsia="Times New Roman" w:hAnsi="Times New Roman" w:cs="Times New Roman"/>
          <w:sz w:val="24"/>
          <w:szCs w:val="24"/>
        </w:rPr>
        <w:t xml:space="preserve">by </w:t>
      </w:r>
      <w:r w:rsidR="00D5554D" w:rsidRPr="003F0243">
        <w:rPr>
          <w:rFonts w:ascii="Times New Roman" w:eastAsia="Times New Roman" w:hAnsi="Times New Roman" w:cs="Times New Roman"/>
          <w:sz w:val="24"/>
          <w:szCs w:val="24"/>
        </w:rPr>
        <w:t xml:space="preserve">varying the number </w:t>
      </w:r>
      <w:r w:rsidR="006E2B95" w:rsidRPr="00A67D3E">
        <w:rPr>
          <w:rFonts w:ascii="Times New Roman" w:eastAsia="Times New Roman" w:hAnsi="Times New Roman" w:cs="Times New Roman"/>
          <w:sz w:val="24"/>
          <w:szCs w:val="24"/>
        </w:rPr>
        <w:t xml:space="preserve">of distinguishable visual elements </w:t>
      </w:r>
      <w:r w:rsidR="00D5554D" w:rsidRPr="003F0243">
        <w:rPr>
          <w:rFonts w:ascii="Times New Roman" w:eastAsia="Times New Roman" w:hAnsi="Times New Roman" w:cs="Times New Roman"/>
          <w:sz w:val="24"/>
          <w:szCs w:val="24"/>
        </w:rPr>
        <w:t>with</w:t>
      </w:r>
      <w:r w:rsidR="006E2B95" w:rsidRPr="00A67D3E">
        <w:rPr>
          <w:rFonts w:ascii="Times New Roman" w:eastAsia="Times New Roman" w:hAnsi="Times New Roman" w:cs="Times New Roman"/>
          <w:sz w:val="24"/>
          <w:szCs w:val="24"/>
        </w:rPr>
        <w:t xml:space="preserve">in a given area (Pieters et al. 2010; Su et al. 2019). We focus on this dimension because, as we will argue, the lay theory we investigate is logically linked to the </w:t>
      </w:r>
      <w:r w:rsidR="006E2B95" w:rsidRPr="003F0243">
        <w:rPr>
          <w:rFonts w:ascii="Times New Roman" w:eastAsia="Times New Roman" w:hAnsi="Times New Roman" w:cs="Times New Roman"/>
          <w:sz w:val="24"/>
          <w:szCs w:val="24"/>
        </w:rPr>
        <w:t>amount</w:t>
      </w:r>
      <w:r w:rsidR="006E2B95" w:rsidRPr="00A67D3E">
        <w:rPr>
          <w:rFonts w:ascii="Times New Roman" w:eastAsia="Times New Roman" w:hAnsi="Times New Roman" w:cs="Times New Roman"/>
          <w:sz w:val="24"/>
          <w:szCs w:val="24"/>
        </w:rPr>
        <w:t xml:space="preserve"> of visual </w:t>
      </w:r>
      <w:r w:rsidR="00D5554D" w:rsidRPr="003F0243">
        <w:rPr>
          <w:rFonts w:ascii="Times New Roman" w:eastAsia="Times New Roman" w:hAnsi="Times New Roman" w:cs="Times New Roman"/>
          <w:sz w:val="24"/>
          <w:szCs w:val="24"/>
        </w:rPr>
        <w:t>detail</w:t>
      </w:r>
      <w:r w:rsidR="006E2B95" w:rsidRPr="00A67D3E">
        <w:rPr>
          <w:rFonts w:ascii="Times New Roman" w:eastAsia="Times New Roman" w:hAnsi="Times New Roman" w:cs="Times New Roman"/>
          <w:sz w:val="24"/>
          <w:szCs w:val="24"/>
        </w:rPr>
        <w:t xml:space="preserve">, rather than </w:t>
      </w:r>
      <w:r w:rsidR="00D5554D" w:rsidRPr="003F0243">
        <w:rPr>
          <w:rFonts w:ascii="Times New Roman" w:eastAsia="Times New Roman" w:hAnsi="Times New Roman" w:cs="Times New Roman"/>
          <w:sz w:val="24"/>
          <w:szCs w:val="24"/>
        </w:rPr>
        <w:t xml:space="preserve">to </w:t>
      </w:r>
      <w:r w:rsidR="006E2B95" w:rsidRPr="00A67D3E">
        <w:rPr>
          <w:rFonts w:ascii="Times New Roman" w:eastAsia="Times New Roman" w:hAnsi="Times New Roman" w:cs="Times New Roman"/>
          <w:sz w:val="24"/>
          <w:szCs w:val="24"/>
        </w:rPr>
        <w:t xml:space="preserve">creative composition or visual metaphors. </w:t>
      </w:r>
      <w:r w:rsidR="00D5554D" w:rsidRPr="00A67D3E">
        <w:rPr>
          <w:rFonts w:ascii="Times New Roman" w:eastAsia="Times New Roman" w:hAnsi="Times New Roman" w:cs="Times New Roman"/>
          <w:sz w:val="24"/>
          <w:szCs w:val="24"/>
        </w:rPr>
        <w:t>Importantly, our operationalization avoids altering elements that carry inherent meaning such as imagery.</w:t>
      </w:r>
      <w:r w:rsidR="00D5554D">
        <w:rPr>
          <w:rFonts w:ascii="Times New Roman" w:eastAsia="Times New Roman" w:hAnsi="Times New Roman" w:cs="Times New Roman"/>
          <w:sz w:val="24"/>
          <w:szCs w:val="24"/>
        </w:rPr>
        <w:t xml:space="preserve"> </w:t>
      </w:r>
    </w:p>
    <w:p w14:paraId="6F154CB1" w14:textId="77777777" w:rsidR="00391B4B" w:rsidRDefault="00391B4B">
      <w:pPr>
        <w:spacing w:after="0" w:line="480" w:lineRule="auto"/>
        <w:rPr>
          <w:rFonts w:ascii="Times New Roman" w:eastAsia="Times New Roman" w:hAnsi="Times New Roman" w:cs="Times New Roman"/>
          <w:sz w:val="24"/>
          <w:szCs w:val="24"/>
        </w:rPr>
      </w:pPr>
    </w:p>
    <w:p w14:paraId="1F2C25E1" w14:textId="06A716D8" w:rsidR="00391B4B" w:rsidRDefault="00CD03F7">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evaluation criteria and lay-theories shape inferences</w:t>
      </w:r>
    </w:p>
    <w:p w14:paraId="7BB5DAB6" w14:textId="77777777" w:rsidR="00391B4B" w:rsidRDefault="00391B4B">
      <w:pPr>
        <w:spacing w:after="0" w:line="480" w:lineRule="auto"/>
        <w:rPr>
          <w:rFonts w:ascii="Times New Roman" w:eastAsia="Times New Roman" w:hAnsi="Times New Roman" w:cs="Times New Roman"/>
          <w:sz w:val="24"/>
          <w:szCs w:val="24"/>
        </w:rPr>
      </w:pPr>
    </w:p>
    <w:p w14:paraId="0A947E3E" w14:textId="41D44560"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Consumer evaluation is a constructive process, shaped by the criteria </w:t>
      </w:r>
      <w:r w:rsidR="00CD03F7">
        <w:rPr>
          <w:rFonts w:ascii="Times New Roman" w:eastAsia="Times New Roman" w:hAnsi="Times New Roman" w:cs="Times New Roman"/>
          <w:sz w:val="24"/>
          <w:szCs w:val="24"/>
        </w:rPr>
        <w:t xml:space="preserve">or goals </w:t>
      </w:r>
      <w:r>
        <w:rPr>
          <w:rFonts w:ascii="Times New Roman" w:eastAsia="Times New Roman" w:hAnsi="Times New Roman" w:cs="Times New Roman"/>
          <w:sz w:val="24"/>
          <w:szCs w:val="24"/>
        </w:rPr>
        <w:t xml:space="preserve">that are salient </w:t>
      </w:r>
      <w:r w:rsidR="00CD18BA">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the moment (Kruglanski 1996). These criteria</w:t>
      </w:r>
      <w:r w:rsidR="006A2CE1">
        <w:rPr>
          <w:rFonts w:ascii="Times New Roman" w:eastAsia="Times New Roman" w:hAnsi="Times New Roman" w:cs="Times New Roman"/>
          <w:sz w:val="24"/>
          <w:szCs w:val="24"/>
        </w:rPr>
        <w:t xml:space="preserve"> trigger </w:t>
      </w:r>
      <w:r w:rsidR="00CD03F7">
        <w:rPr>
          <w:rFonts w:ascii="Times New Roman" w:eastAsia="Times New Roman" w:hAnsi="Times New Roman" w:cs="Times New Roman"/>
          <w:sz w:val="24"/>
          <w:szCs w:val="24"/>
        </w:rPr>
        <w:t xml:space="preserve">– often implicitly – </w:t>
      </w:r>
      <w:r w:rsidR="006A2CE1">
        <w:rPr>
          <w:rFonts w:ascii="Times New Roman" w:eastAsia="Times New Roman" w:hAnsi="Times New Roman" w:cs="Times New Roman"/>
          <w:sz w:val="24"/>
          <w:szCs w:val="24"/>
        </w:rPr>
        <w:t>queries that</w:t>
      </w:r>
      <w:r>
        <w:rPr>
          <w:rFonts w:ascii="Times New Roman" w:eastAsia="Times New Roman" w:hAnsi="Times New Roman" w:cs="Times New Roman"/>
          <w:sz w:val="24"/>
          <w:szCs w:val="24"/>
        </w:rPr>
        <w:t xml:space="preserve"> direct attention to </w:t>
      </w:r>
      <w:r w:rsidR="006A2CE1">
        <w:rPr>
          <w:rFonts w:ascii="Times New Roman" w:eastAsia="Times New Roman" w:hAnsi="Times New Roman" w:cs="Times New Roman"/>
          <w:sz w:val="24"/>
          <w:szCs w:val="24"/>
        </w:rPr>
        <w:t>relevant product</w:t>
      </w:r>
      <w:r>
        <w:rPr>
          <w:rFonts w:ascii="Times New Roman" w:eastAsia="Times New Roman" w:hAnsi="Times New Roman" w:cs="Times New Roman"/>
          <w:sz w:val="24"/>
          <w:szCs w:val="24"/>
        </w:rPr>
        <w:t xml:space="preserve"> cues</w:t>
      </w:r>
      <w:r w:rsidR="00CD03F7">
        <w:rPr>
          <w:rFonts w:ascii="Times New Roman" w:eastAsia="Times New Roman" w:hAnsi="Times New Roman" w:cs="Times New Roman"/>
          <w:sz w:val="24"/>
          <w:szCs w:val="24"/>
        </w:rPr>
        <w:t xml:space="preserve">, which </w:t>
      </w:r>
      <w:r w:rsidR="00CD18BA">
        <w:rPr>
          <w:rFonts w:ascii="Times New Roman" w:eastAsia="Times New Roman" w:hAnsi="Times New Roman" w:cs="Times New Roman"/>
          <w:sz w:val="24"/>
          <w:szCs w:val="24"/>
        </w:rPr>
        <w:t xml:space="preserve">then inform </w:t>
      </w:r>
      <w:r w:rsidR="006A2CE1">
        <w:rPr>
          <w:rFonts w:ascii="Times New Roman" w:eastAsia="Times New Roman" w:hAnsi="Times New Roman" w:cs="Times New Roman"/>
          <w:sz w:val="24"/>
          <w:szCs w:val="24"/>
        </w:rPr>
        <w:t>interpretation and judgment</w:t>
      </w:r>
      <w:r>
        <w:rPr>
          <w:rFonts w:ascii="Times New Roman" w:eastAsia="Times New Roman" w:hAnsi="Times New Roman" w:cs="Times New Roman"/>
          <w:sz w:val="24"/>
          <w:szCs w:val="24"/>
        </w:rPr>
        <w:t xml:space="preserve"> (Johnson </w:t>
      </w:r>
      <w:r>
        <w:rPr>
          <w:rFonts w:ascii="Times New Roman" w:eastAsia="Times New Roman" w:hAnsi="Times New Roman" w:cs="Times New Roman"/>
          <w:sz w:val="24"/>
          <w:szCs w:val="24"/>
        </w:rPr>
        <w:lastRenderedPageBreak/>
        <w:t xml:space="preserve">et al. 2007). For example, when healthiness is a </w:t>
      </w:r>
      <w:r w:rsidR="00CD18BA">
        <w:rPr>
          <w:rFonts w:ascii="Times New Roman" w:eastAsia="Times New Roman" w:hAnsi="Times New Roman" w:cs="Times New Roman"/>
          <w:sz w:val="24"/>
          <w:szCs w:val="24"/>
        </w:rPr>
        <w:t>top-of-mind</w:t>
      </w:r>
      <w:r>
        <w:rPr>
          <w:rFonts w:ascii="Times New Roman" w:eastAsia="Times New Roman" w:hAnsi="Times New Roman" w:cs="Times New Roman"/>
          <w:sz w:val="24"/>
          <w:szCs w:val="24"/>
        </w:rPr>
        <w:t xml:space="preserve"> criterion, a query </w:t>
      </w:r>
      <w:r w:rsidR="00CD18BA">
        <w:rPr>
          <w:rFonts w:ascii="Times New Roman" w:eastAsia="Times New Roman" w:hAnsi="Times New Roman" w:cs="Times New Roman"/>
          <w:sz w:val="24"/>
          <w:szCs w:val="24"/>
        </w:rPr>
        <w:t>about</w:t>
      </w:r>
      <w:r>
        <w:rPr>
          <w:rFonts w:ascii="Times New Roman" w:eastAsia="Times New Roman" w:hAnsi="Times New Roman" w:cs="Times New Roman"/>
          <w:sz w:val="24"/>
          <w:szCs w:val="24"/>
        </w:rPr>
        <w:t xml:space="preserve"> nutritional value may come to mind, directing attention to cues </w:t>
      </w:r>
      <w:r w:rsidR="00CD18BA">
        <w:rPr>
          <w:rFonts w:ascii="Times New Roman" w:eastAsia="Times New Roman" w:hAnsi="Times New Roman" w:cs="Times New Roman"/>
          <w:sz w:val="24"/>
          <w:szCs w:val="24"/>
        </w:rPr>
        <w:t xml:space="preserve">like </w:t>
      </w:r>
      <w:r>
        <w:rPr>
          <w:rFonts w:ascii="Times New Roman" w:eastAsia="Times New Roman" w:hAnsi="Times New Roman" w:cs="Times New Roman"/>
          <w:sz w:val="24"/>
          <w:szCs w:val="24"/>
        </w:rPr>
        <w:t xml:space="preserve">the number of </w:t>
      </w:r>
      <w:r w:rsidR="007E3202">
        <w:rPr>
          <w:rFonts w:ascii="Times New Roman" w:eastAsia="Times New Roman" w:hAnsi="Times New Roman" w:cs="Times New Roman"/>
          <w:sz w:val="24"/>
          <w:szCs w:val="24"/>
        </w:rPr>
        <w:t xml:space="preserve">listed </w:t>
      </w:r>
      <w:r>
        <w:rPr>
          <w:rFonts w:ascii="Times New Roman" w:eastAsia="Times New Roman" w:hAnsi="Times New Roman" w:cs="Times New Roman"/>
          <w:sz w:val="24"/>
          <w:szCs w:val="24"/>
        </w:rPr>
        <w:t xml:space="preserve">ingredients (Raghunathan et al. 2006). </w:t>
      </w:r>
      <w:r w:rsidR="007E3202">
        <w:rPr>
          <w:rFonts w:ascii="Times New Roman" w:eastAsia="Times New Roman" w:hAnsi="Times New Roman" w:cs="Times New Roman"/>
          <w:sz w:val="24"/>
          <w:szCs w:val="24"/>
        </w:rPr>
        <w:t xml:space="preserve">If </w:t>
      </w:r>
      <w:r>
        <w:rPr>
          <w:rFonts w:ascii="Times New Roman" w:eastAsia="Times New Roman" w:hAnsi="Times New Roman" w:cs="Times New Roman"/>
          <w:sz w:val="24"/>
          <w:szCs w:val="24"/>
        </w:rPr>
        <w:t xml:space="preserve">eco-friendliness is the salient criterion, </w:t>
      </w:r>
      <w:r w:rsidR="007E3202">
        <w:rPr>
          <w:rFonts w:ascii="Times New Roman" w:eastAsia="Times New Roman" w:hAnsi="Times New Roman" w:cs="Times New Roman"/>
          <w:sz w:val="24"/>
          <w:szCs w:val="24"/>
        </w:rPr>
        <w:t>consumers may ask themselves</w:t>
      </w:r>
      <w:r>
        <w:rPr>
          <w:rFonts w:ascii="Times New Roman" w:eastAsia="Times New Roman" w:hAnsi="Times New Roman" w:cs="Times New Roman"/>
          <w:sz w:val="24"/>
          <w:szCs w:val="24"/>
        </w:rPr>
        <w:t xml:space="preserve"> where or how the product was made, prompting </w:t>
      </w:r>
      <w:r w:rsidR="007E3202">
        <w:rPr>
          <w:rFonts w:ascii="Times New Roman" w:eastAsia="Times New Roman" w:hAnsi="Times New Roman" w:cs="Times New Roman"/>
          <w:sz w:val="24"/>
          <w:szCs w:val="24"/>
        </w:rPr>
        <w:t xml:space="preserve">them </w:t>
      </w:r>
      <w:r>
        <w:rPr>
          <w:rFonts w:ascii="Times New Roman" w:eastAsia="Times New Roman" w:hAnsi="Times New Roman" w:cs="Times New Roman"/>
          <w:sz w:val="24"/>
          <w:szCs w:val="24"/>
        </w:rPr>
        <w:t xml:space="preserve">to look for relevant cues on the package. When the criterion is hedonic </w:t>
      </w:r>
      <w:r w:rsidR="007E3202">
        <w:rPr>
          <w:rFonts w:ascii="Times New Roman" w:eastAsia="Times New Roman" w:hAnsi="Times New Roman" w:cs="Times New Roman"/>
          <w:sz w:val="24"/>
          <w:szCs w:val="24"/>
        </w:rPr>
        <w:t>enjoyment</w:t>
      </w:r>
      <w:r>
        <w:rPr>
          <w:rFonts w:ascii="Times New Roman" w:eastAsia="Times New Roman" w:hAnsi="Times New Roman" w:cs="Times New Roman"/>
          <w:sz w:val="24"/>
          <w:szCs w:val="24"/>
        </w:rPr>
        <w:t xml:space="preserve">, a query about sensory </w:t>
      </w:r>
      <w:r w:rsidR="007E3202">
        <w:rPr>
          <w:rFonts w:ascii="Times New Roman" w:eastAsia="Times New Roman" w:hAnsi="Times New Roman" w:cs="Times New Roman"/>
          <w:sz w:val="24"/>
          <w:szCs w:val="24"/>
        </w:rPr>
        <w:t xml:space="preserve">pleasure </w:t>
      </w:r>
      <w:r>
        <w:rPr>
          <w:rFonts w:ascii="Times New Roman" w:eastAsia="Times New Roman" w:hAnsi="Times New Roman" w:cs="Times New Roman"/>
          <w:sz w:val="24"/>
          <w:szCs w:val="24"/>
        </w:rPr>
        <w:t>may activ</w:t>
      </w:r>
      <w:r w:rsidR="00CD03F7">
        <w:rPr>
          <w:rFonts w:ascii="Times New Roman" w:eastAsia="Times New Roman" w:hAnsi="Times New Roman" w:cs="Times New Roman"/>
          <w:sz w:val="24"/>
          <w:szCs w:val="24"/>
        </w:rPr>
        <w:t>at</w:t>
      </w:r>
      <w:r>
        <w:rPr>
          <w:rFonts w:ascii="Times New Roman" w:eastAsia="Times New Roman" w:hAnsi="Times New Roman" w:cs="Times New Roman"/>
          <w:sz w:val="24"/>
          <w:szCs w:val="24"/>
        </w:rPr>
        <w:t>e, directing attention to</w:t>
      </w:r>
      <w:r w:rsidR="007E3202">
        <w:rPr>
          <w:rFonts w:ascii="Times New Roman" w:eastAsia="Times New Roman" w:hAnsi="Times New Roman" w:cs="Times New Roman"/>
          <w:sz w:val="24"/>
          <w:szCs w:val="24"/>
        </w:rPr>
        <w:t xml:space="preserve"> visual </w:t>
      </w:r>
      <w:r>
        <w:rPr>
          <w:rFonts w:ascii="Times New Roman" w:eastAsia="Times New Roman" w:hAnsi="Times New Roman" w:cs="Times New Roman"/>
          <w:sz w:val="24"/>
          <w:szCs w:val="24"/>
        </w:rPr>
        <w:t>features like packag</w:t>
      </w:r>
      <w:r w:rsidR="00CD03F7">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color (</w:t>
      </w:r>
      <w:proofErr w:type="spellStart"/>
      <w:r>
        <w:rPr>
          <w:rFonts w:ascii="Times New Roman" w:eastAsia="Times New Roman" w:hAnsi="Times New Roman" w:cs="Times New Roman"/>
          <w:sz w:val="24"/>
          <w:szCs w:val="24"/>
        </w:rPr>
        <w:t>Madzharov</w:t>
      </w:r>
      <w:proofErr w:type="spellEnd"/>
      <w:r>
        <w:rPr>
          <w:rFonts w:ascii="Times New Roman" w:eastAsia="Times New Roman" w:hAnsi="Times New Roman" w:cs="Times New Roman"/>
          <w:sz w:val="24"/>
          <w:szCs w:val="24"/>
        </w:rPr>
        <w:t xml:space="preserve"> et al. 2016; Shankar et al. 2009). </w:t>
      </w:r>
    </w:p>
    <w:p w14:paraId="22763688" w14:textId="3DE348CC" w:rsidR="00391B4B" w:rsidRDefault="007E3202" w:rsidP="007E3202">
      <w:pPr>
        <w:spacing w:after="0" w:line="480" w:lineRule="auto"/>
        <w:ind w:firstLine="720"/>
        <w:rPr>
          <w:rFonts w:ascii="Times New Roman" w:eastAsia="Times New Roman" w:hAnsi="Times New Roman" w:cs="Times New Roman"/>
          <w:sz w:val="24"/>
          <w:szCs w:val="24"/>
        </w:rPr>
      </w:pPr>
      <w:r w:rsidRPr="007E32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These observed cues</w:t>
      </w:r>
      <w:r w:rsidR="006E2B95">
        <w:rPr>
          <w:rFonts w:ascii="Times New Roman" w:eastAsia="Times New Roman" w:hAnsi="Times New Roman" w:cs="Times New Roman"/>
          <w:sz w:val="24"/>
          <w:szCs w:val="24"/>
        </w:rPr>
        <w:t xml:space="preserve"> are then interpreted through </w:t>
      </w:r>
      <w:r w:rsidR="005C158E">
        <w:rPr>
          <w:rFonts w:ascii="Times New Roman" w:eastAsia="Times New Roman" w:hAnsi="Times New Roman" w:cs="Times New Roman"/>
          <w:sz w:val="24"/>
          <w:szCs w:val="24"/>
        </w:rPr>
        <w:t xml:space="preserve">consumers’ </w:t>
      </w:r>
      <w:r w:rsidR="006E2B95">
        <w:rPr>
          <w:rFonts w:ascii="Times New Roman" w:eastAsia="Times New Roman" w:hAnsi="Times New Roman" w:cs="Times New Roman"/>
          <w:sz w:val="24"/>
          <w:szCs w:val="24"/>
        </w:rPr>
        <w:t xml:space="preserve">beliefs and lay theories to form a judgment (Kruglanski 1996). </w:t>
      </w:r>
      <w:r>
        <w:rPr>
          <w:rFonts w:ascii="Times New Roman" w:eastAsia="Times New Roman" w:hAnsi="Times New Roman" w:cs="Times New Roman"/>
          <w:sz w:val="24"/>
          <w:szCs w:val="24"/>
        </w:rPr>
        <w:t xml:space="preserve">Under a </w:t>
      </w:r>
      <w:r w:rsidR="006E2B95">
        <w:rPr>
          <w:rFonts w:ascii="Times New Roman" w:eastAsia="Times New Roman" w:hAnsi="Times New Roman" w:cs="Times New Roman"/>
          <w:sz w:val="24"/>
          <w:szCs w:val="24"/>
        </w:rPr>
        <w:t xml:space="preserve">healthiness criterion, consumers may judge a long </w:t>
      </w:r>
      <w:r>
        <w:rPr>
          <w:rFonts w:ascii="Times New Roman" w:eastAsia="Times New Roman" w:hAnsi="Times New Roman" w:cs="Times New Roman"/>
          <w:sz w:val="24"/>
          <w:szCs w:val="24"/>
        </w:rPr>
        <w:t xml:space="preserve">ingredient </w:t>
      </w:r>
      <w:r w:rsidR="006E2B95">
        <w:rPr>
          <w:rFonts w:ascii="Times New Roman" w:eastAsia="Times New Roman" w:hAnsi="Times New Roman" w:cs="Times New Roman"/>
          <w:sz w:val="24"/>
          <w:szCs w:val="24"/>
        </w:rPr>
        <w:t xml:space="preserve">list as unhealthy – if they believe that </w:t>
      </w:r>
      <w:r>
        <w:rPr>
          <w:rFonts w:ascii="Times New Roman" w:eastAsia="Times New Roman" w:hAnsi="Times New Roman" w:cs="Times New Roman"/>
          <w:sz w:val="24"/>
          <w:szCs w:val="24"/>
        </w:rPr>
        <w:t>“</w:t>
      </w:r>
      <w:r w:rsidR="006E2B95">
        <w:rPr>
          <w:rFonts w:ascii="Times New Roman" w:eastAsia="Times New Roman" w:hAnsi="Times New Roman" w:cs="Times New Roman"/>
          <w:sz w:val="24"/>
          <w:szCs w:val="24"/>
        </w:rPr>
        <w:t>fewer ingredients</w:t>
      </w:r>
      <w:r>
        <w:rPr>
          <w:rFonts w:ascii="Times New Roman" w:eastAsia="Times New Roman" w:hAnsi="Times New Roman" w:cs="Times New Roman"/>
          <w:sz w:val="24"/>
          <w:szCs w:val="24"/>
        </w:rPr>
        <w:t xml:space="preserve"> mean healthier”</w:t>
      </w:r>
      <w:r w:rsidR="006E2B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w:t>
      </w:r>
      <w:r w:rsidR="005C158E">
        <w:rPr>
          <w:rFonts w:ascii="Times New Roman" w:eastAsia="Times New Roman" w:hAnsi="Times New Roman" w:cs="Times New Roman"/>
          <w:sz w:val="24"/>
          <w:szCs w:val="24"/>
        </w:rPr>
        <w:t xml:space="preserve">nder </w:t>
      </w:r>
      <w:r w:rsidR="006E2B95">
        <w:rPr>
          <w:rFonts w:ascii="Times New Roman" w:eastAsia="Times New Roman" w:hAnsi="Times New Roman" w:cs="Times New Roman"/>
          <w:sz w:val="24"/>
          <w:szCs w:val="24"/>
        </w:rPr>
        <w:t>a hedonic criterion</w:t>
      </w:r>
      <w:r w:rsidR="005C158E">
        <w:rPr>
          <w:rFonts w:ascii="Times New Roman" w:eastAsia="Times New Roman" w:hAnsi="Times New Roman" w:cs="Times New Roman"/>
          <w:sz w:val="24"/>
          <w:szCs w:val="24"/>
        </w:rPr>
        <w:t>,</w:t>
      </w:r>
      <w:r w:rsidR="006E2B95">
        <w:rPr>
          <w:rFonts w:ascii="Times New Roman" w:eastAsia="Times New Roman" w:hAnsi="Times New Roman" w:cs="Times New Roman"/>
          <w:sz w:val="24"/>
          <w:szCs w:val="24"/>
        </w:rPr>
        <w:t xml:space="preserve"> </w:t>
      </w:r>
      <w:r w:rsidR="005C158E">
        <w:rPr>
          <w:rFonts w:ascii="Times New Roman" w:eastAsia="Times New Roman" w:hAnsi="Times New Roman" w:cs="Times New Roman"/>
          <w:sz w:val="24"/>
          <w:szCs w:val="24"/>
        </w:rPr>
        <w:t xml:space="preserve">consumers may </w:t>
      </w:r>
      <w:r w:rsidR="006E2B95">
        <w:rPr>
          <w:rFonts w:ascii="Times New Roman" w:eastAsia="Times New Roman" w:hAnsi="Times New Roman" w:cs="Times New Roman"/>
          <w:sz w:val="24"/>
          <w:szCs w:val="24"/>
        </w:rPr>
        <w:t xml:space="preserve">infer that loud and colorful graphics signal greater enjoyment – if their lay theory equates enjoyment with loud and boisterous energy. In each case, </w:t>
      </w:r>
      <w:r>
        <w:rPr>
          <w:rFonts w:ascii="Times New Roman" w:eastAsia="Times New Roman" w:hAnsi="Times New Roman" w:cs="Times New Roman"/>
          <w:sz w:val="24"/>
          <w:szCs w:val="24"/>
        </w:rPr>
        <w:t xml:space="preserve">lay theories act as the interpretive lens. </w:t>
      </w:r>
      <w:r w:rsidR="00CD18BA">
        <w:rPr>
          <w:rFonts w:ascii="Times New Roman" w:eastAsia="Times New Roman" w:hAnsi="Times New Roman" w:cs="Times New Roman"/>
          <w:sz w:val="24"/>
          <w:szCs w:val="24"/>
        </w:rPr>
        <w:t xml:space="preserve">If consumers hold a different lay theory (e.g., </w:t>
      </w:r>
      <w:r w:rsidRPr="007E3202">
        <w:rPr>
          <w:rFonts w:ascii="Times New Roman" w:eastAsia="Times New Roman" w:hAnsi="Times New Roman" w:cs="Times New Roman"/>
          <w:sz w:val="24"/>
          <w:szCs w:val="24"/>
        </w:rPr>
        <w:t>that healthiness comes from many natural ingredients, or that enjoyment is tied to calmness and serenity</w:t>
      </w:r>
      <w:r w:rsidR="00CD18B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D18BA">
        <w:rPr>
          <w:rFonts w:ascii="Times New Roman" w:eastAsia="Times New Roman" w:hAnsi="Times New Roman" w:cs="Times New Roman"/>
          <w:sz w:val="24"/>
          <w:szCs w:val="24"/>
        </w:rPr>
        <w:t xml:space="preserve"> or hold </w:t>
      </w:r>
      <w:r>
        <w:rPr>
          <w:rFonts w:ascii="Times New Roman" w:eastAsia="Times New Roman" w:hAnsi="Times New Roman" w:cs="Times New Roman"/>
          <w:sz w:val="24"/>
          <w:szCs w:val="24"/>
        </w:rPr>
        <w:t>no</w:t>
      </w:r>
      <w:r w:rsidR="00CD18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lay theory </w:t>
      </w:r>
      <w:r w:rsidR="00CD18BA">
        <w:rPr>
          <w:rFonts w:ascii="Times New Roman" w:eastAsia="Times New Roman" w:hAnsi="Times New Roman" w:cs="Times New Roman"/>
          <w:sz w:val="24"/>
          <w:szCs w:val="24"/>
        </w:rPr>
        <w:t>at all,</w:t>
      </w:r>
      <w:r>
        <w:rPr>
          <w:rFonts w:ascii="Times New Roman" w:eastAsia="Times New Roman" w:hAnsi="Times New Roman" w:cs="Times New Roman"/>
          <w:sz w:val="24"/>
          <w:szCs w:val="24"/>
        </w:rPr>
        <w:t xml:space="preserve"> the same cue would be interpreted differently </w:t>
      </w:r>
      <w:bookmarkStart w:id="2" w:name="_23sjgdi4ljr1" w:colFirst="0" w:colLast="0"/>
      <w:bookmarkEnd w:id="2"/>
      <w:r w:rsidR="006E2B95">
        <w:rPr>
          <w:rFonts w:ascii="Times New Roman" w:eastAsia="Times New Roman" w:hAnsi="Times New Roman" w:cs="Times New Roman"/>
          <w:sz w:val="24"/>
          <w:szCs w:val="24"/>
        </w:rPr>
        <w:t xml:space="preserve">(Schwarz 2004; </w:t>
      </w:r>
      <w:proofErr w:type="spellStart"/>
      <w:r w:rsidR="006E2B95">
        <w:rPr>
          <w:rFonts w:ascii="Times New Roman" w:eastAsia="Times New Roman" w:hAnsi="Times New Roman" w:cs="Times New Roman"/>
          <w:sz w:val="24"/>
          <w:szCs w:val="24"/>
        </w:rPr>
        <w:t>Winkielman</w:t>
      </w:r>
      <w:proofErr w:type="spellEnd"/>
      <w:r w:rsidR="006E2B95">
        <w:rPr>
          <w:rFonts w:ascii="Times New Roman" w:eastAsia="Times New Roman" w:hAnsi="Times New Roman" w:cs="Times New Roman"/>
          <w:sz w:val="24"/>
          <w:szCs w:val="24"/>
        </w:rPr>
        <w:t xml:space="preserve"> and Schwarz 2001; Sela and Berger 2012; Sela, Berger, and Kim 2017).</w:t>
      </w:r>
      <w:r w:rsidR="008E00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8E00E0">
        <w:rPr>
          <w:rFonts w:ascii="Times New Roman" w:eastAsia="Times New Roman" w:hAnsi="Times New Roman" w:cs="Times New Roman"/>
          <w:sz w:val="24"/>
          <w:szCs w:val="24"/>
        </w:rPr>
        <w:t xml:space="preserve">he same visual feature may </w:t>
      </w:r>
      <w:r>
        <w:rPr>
          <w:rFonts w:ascii="Times New Roman" w:eastAsia="Times New Roman" w:hAnsi="Times New Roman" w:cs="Times New Roman"/>
          <w:sz w:val="24"/>
          <w:szCs w:val="24"/>
        </w:rPr>
        <w:t xml:space="preserve">thus </w:t>
      </w:r>
      <w:r w:rsidR="008E00E0">
        <w:rPr>
          <w:rFonts w:ascii="Times New Roman" w:eastAsia="Times New Roman" w:hAnsi="Times New Roman" w:cs="Times New Roman"/>
          <w:sz w:val="24"/>
          <w:szCs w:val="24"/>
        </w:rPr>
        <w:t>be interpreted differently</w:t>
      </w:r>
      <w:r>
        <w:rPr>
          <w:rFonts w:ascii="Times New Roman" w:eastAsia="Times New Roman" w:hAnsi="Times New Roman" w:cs="Times New Roman"/>
          <w:sz w:val="24"/>
          <w:szCs w:val="24"/>
        </w:rPr>
        <w:t>,</w:t>
      </w:r>
      <w:r w:rsidR="008E00E0">
        <w:rPr>
          <w:rFonts w:ascii="Times New Roman" w:eastAsia="Times New Roman" w:hAnsi="Times New Roman" w:cs="Times New Roman"/>
          <w:sz w:val="24"/>
          <w:szCs w:val="24"/>
        </w:rPr>
        <w:t xml:space="preserve"> depending on the criterion</w:t>
      </w:r>
      <w:r>
        <w:rPr>
          <w:rFonts w:ascii="Times New Roman" w:eastAsia="Times New Roman" w:hAnsi="Times New Roman" w:cs="Times New Roman"/>
          <w:sz w:val="24"/>
          <w:szCs w:val="24"/>
        </w:rPr>
        <w:t xml:space="preserve"> that is salient</w:t>
      </w:r>
      <w:r w:rsidR="00CD18BA">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the</w:t>
      </w:r>
      <w:r w:rsidR="00CD18BA">
        <w:rPr>
          <w:rFonts w:ascii="Times New Roman" w:eastAsia="Times New Roman" w:hAnsi="Times New Roman" w:cs="Times New Roman"/>
          <w:sz w:val="24"/>
          <w:szCs w:val="24"/>
        </w:rPr>
        <w:t xml:space="preserve"> lay theory </w:t>
      </w:r>
      <w:r>
        <w:rPr>
          <w:rFonts w:ascii="Times New Roman" w:eastAsia="Times New Roman" w:hAnsi="Times New Roman" w:cs="Times New Roman"/>
          <w:sz w:val="24"/>
          <w:szCs w:val="24"/>
        </w:rPr>
        <w:t>applied</w:t>
      </w:r>
      <w:r w:rsidR="008E00E0">
        <w:rPr>
          <w:rFonts w:ascii="Times New Roman" w:eastAsia="Times New Roman" w:hAnsi="Times New Roman" w:cs="Times New Roman"/>
          <w:sz w:val="24"/>
          <w:szCs w:val="24"/>
        </w:rPr>
        <w:t>.</w:t>
      </w:r>
    </w:p>
    <w:p w14:paraId="2C16B488" w14:textId="77777777" w:rsidR="00391B4B" w:rsidRDefault="00391B4B">
      <w:pPr>
        <w:spacing w:after="0" w:line="480" w:lineRule="auto"/>
        <w:rPr>
          <w:rFonts w:ascii="Times New Roman" w:eastAsia="Times New Roman" w:hAnsi="Times New Roman" w:cs="Times New Roman"/>
          <w:sz w:val="24"/>
          <w:szCs w:val="24"/>
        </w:rPr>
      </w:pPr>
    </w:p>
    <w:p w14:paraId="7E1896ED" w14:textId="074C64C3" w:rsidR="00391B4B" w:rsidRDefault="00BD7323">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Inferences from visual complexity: p</w:t>
      </w:r>
      <w:r w:rsidR="006E2B95">
        <w:rPr>
          <w:rFonts w:ascii="Times New Roman" w:eastAsia="Times New Roman" w:hAnsi="Times New Roman" w:cs="Times New Roman"/>
          <w:b/>
          <w:sz w:val="24"/>
          <w:szCs w:val="24"/>
        </w:rPr>
        <w:t xml:space="preserve">roduct efficacy, eco-friendliness, and </w:t>
      </w:r>
      <w:r>
        <w:rPr>
          <w:rFonts w:ascii="Times New Roman" w:eastAsia="Times New Roman" w:hAnsi="Times New Roman" w:cs="Times New Roman"/>
          <w:b/>
          <w:sz w:val="24"/>
          <w:szCs w:val="24"/>
        </w:rPr>
        <w:t>manufacturing</w:t>
      </w:r>
      <w:r w:rsidR="006E2B95">
        <w:rPr>
          <w:rFonts w:ascii="Times New Roman" w:eastAsia="Times New Roman" w:hAnsi="Times New Roman" w:cs="Times New Roman"/>
          <w:b/>
          <w:sz w:val="24"/>
          <w:szCs w:val="24"/>
        </w:rPr>
        <w:t xml:space="preserve"> resources</w:t>
      </w:r>
    </w:p>
    <w:p w14:paraId="1062F3EB" w14:textId="77777777" w:rsidR="00391B4B" w:rsidRDefault="00391B4B">
      <w:pPr>
        <w:spacing w:after="0" w:line="480" w:lineRule="auto"/>
        <w:rPr>
          <w:rFonts w:ascii="Times New Roman" w:eastAsia="Times New Roman" w:hAnsi="Times New Roman" w:cs="Times New Roman"/>
          <w:b/>
          <w:sz w:val="24"/>
          <w:szCs w:val="24"/>
        </w:rPr>
      </w:pPr>
    </w:p>
    <w:p w14:paraId="3F342E8D" w14:textId="2219B85B"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Efficacy and eco-friendliness are among the most </w:t>
      </w:r>
      <w:r w:rsidR="00BD7323">
        <w:rPr>
          <w:rFonts w:ascii="Times New Roman" w:eastAsia="Times New Roman" w:hAnsi="Times New Roman" w:cs="Times New Roman"/>
          <w:sz w:val="24"/>
          <w:szCs w:val="24"/>
        </w:rPr>
        <w:t xml:space="preserve">top-of-mind </w:t>
      </w:r>
      <w:r>
        <w:rPr>
          <w:rFonts w:ascii="Times New Roman" w:eastAsia="Times New Roman" w:hAnsi="Times New Roman" w:cs="Times New Roman"/>
          <w:sz w:val="24"/>
          <w:szCs w:val="24"/>
        </w:rPr>
        <w:t xml:space="preserve">evaluation criteria used by modern consumers, particularly in </w:t>
      </w:r>
      <w:proofErr w:type="gramStart"/>
      <w:r>
        <w:rPr>
          <w:rFonts w:ascii="Times New Roman" w:eastAsia="Times New Roman" w:hAnsi="Times New Roman" w:cs="Times New Roman"/>
          <w:sz w:val="24"/>
          <w:szCs w:val="24"/>
        </w:rPr>
        <w:t>consumer packaged</w:t>
      </w:r>
      <w:proofErr w:type="gramEnd"/>
      <w:r>
        <w:rPr>
          <w:rFonts w:ascii="Times New Roman" w:eastAsia="Times New Roman" w:hAnsi="Times New Roman" w:cs="Times New Roman"/>
          <w:sz w:val="24"/>
          <w:szCs w:val="24"/>
        </w:rPr>
        <w:t xml:space="preserve"> goods (CPG) categories. Here, we define product efficacy in a narrow, utilitarian sense, referring to a product’s functional strength, potency, and capacity to achieve a practical purpose (e.g., the cleaning power of a soap, the absorbent capacity of a paper towel). This definition contrasts with other notions of product “goodness”</w:t>
      </w:r>
      <w:r w:rsidR="00525841">
        <w:rPr>
          <w:rFonts w:ascii="Times New Roman" w:eastAsia="Times New Roman" w:hAnsi="Times New Roman" w:cs="Times New Roman"/>
          <w:sz w:val="24"/>
          <w:szCs w:val="24"/>
        </w:rPr>
        <w:t xml:space="preserve"> or “quality,”</w:t>
      </w:r>
      <w:r>
        <w:rPr>
          <w:rFonts w:ascii="Times New Roman" w:eastAsia="Times New Roman" w:hAnsi="Times New Roman" w:cs="Times New Roman"/>
          <w:sz w:val="24"/>
          <w:szCs w:val="24"/>
        </w:rPr>
        <w:t xml:space="preserve"> like healthiness or tastiness, which may be shaped by different lay theories </w:t>
      </w:r>
      <w:r w:rsidR="00271F3A">
        <w:rPr>
          <w:rFonts w:ascii="Times New Roman" w:eastAsia="Times New Roman" w:hAnsi="Times New Roman" w:cs="Times New Roman"/>
          <w:sz w:val="24"/>
          <w:szCs w:val="24"/>
        </w:rPr>
        <w:t xml:space="preserve">that apply in </w:t>
      </w:r>
      <w:r>
        <w:rPr>
          <w:rFonts w:ascii="Times New Roman" w:eastAsia="Times New Roman" w:hAnsi="Times New Roman" w:cs="Times New Roman"/>
          <w:sz w:val="24"/>
          <w:szCs w:val="24"/>
        </w:rPr>
        <w:t xml:space="preserve">specific domains </w:t>
      </w:r>
      <w:r w:rsidR="00223395">
        <w:rPr>
          <w:rFonts w:ascii="Times New Roman" w:eastAsia="Times New Roman" w:hAnsi="Times New Roman" w:cs="Times New Roman"/>
          <w:sz w:val="24"/>
          <w:szCs w:val="24"/>
        </w:rPr>
        <w:t xml:space="preserve">like food </w:t>
      </w:r>
      <w:r>
        <w:rPr>
          <w:rFonts w:ascii="Times New Roman" w:eastAsia="Times New Roman" w:hAnsi="Times New Roman" w:cs="Times New Roman"/>
          <w:sz w:val="24"/>
          <w:szCs w:val="24"/>
        </w:rPr>
        <w:t>(Ton et al. 2024). Eco-friendliness refers to the degree to which a product is perceived as not harming the natural environment.</w:t>
      </w:r>
    </w:p>
    <w:p w14:paraId="4FEAA932" w14:textId="3FED7454" w:rsidR="00391B4B" w:rsidRPr="007415C4"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line with the principle that </w:t>
      </w:r>
      <w:r w:rsidR="00271F3A">
        <w:rPr>
          <w:rFonts w:ascii="Times New Roman" w:eastAsia="Times New Roman" w:hAnsi="Times New Roman" w:cs="Times New Roman"/>
          <w:sz w:val="24"/>
          <w:szCs w:val="24"/>
        </w:rPr>
        <w:t xml:space="preserve">salient </w:t>
      </w:r>
      <w:r>
        <w:rPr>
          <w:rFonts w:ascii="Times New Roman" w:eastAsia="Times New Roman" w:hAnsi="Times New Roman" w:cs="Times New Roman"/>
          <w:sz w:val="24"/>
          <w:szCs w:val="24"/>
        </w:rPr>
        <w:t xml:space="preserve">evaluation criteria determine </w:t>
      </w:r>
      <w:r w:rsidR="00271F3A">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cues consumers attend</w:t>
      </w:r>
      <w:r w:rsidR="00271F3A">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we argue that when </w:t>
      </w:r>
      <w:r w:rsidR="00271F3A">
        <w:rPr>
          <w:rFonts w:ascii="Times New Roman" w:eastAsia="Times New Roman" w:hAnsi="Times New Roman" w:cs="Times New Roman"/>
          <w:sz w:val="24"/>
          <w:szCs w:val="24"/>
        </w:rPr>
        <w:t xml:space="preserve">consumers </w:t>
      </w:r>
      <w:r>
        <w:rPr>
          <w:rFonts w:ascii="Times New Roman" w:eastAsia="Times New Roman" w:hAnsi="Times New Roman" w:cs="Times New Roman"/>
          <w:sz w:val="24"/>
          <w:szCs w:val="24"/>
        </w:rPr>
        <w:t>evaluat</w:t>
      </w:r>
      <w:r w:rsidR="00271F3A">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product</w:t>
      </w:r>
      <w:r w:rsidR="00271F3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271F3A">
        <w:rPr>
          <w:rFonts w:ascii="Times New Roman" w:eastAsia="Times New Roman" w:hAnsi="Times New Roman" w:cs="Times New Roman"/>
          <w:sz w:val="24"/>
          <w:szCs w:val="24"/>
        </w:rPr>
        <w:t xml:space="preserve">efficacy or eco-friendliness, they </w:t>
      </w:r>
      <w:r>
        <w:rPr>
          <w:rFonts w:ascii="Times New Roman" w:eastAsia="Times New Roman" w:hAnsi="Times New Roman" w:cs="Times New Roman"/>
          <w:sz w:val="24"/>
          <w:szCs w:val="24"/>
        </w:rPr>
        <w:t xml:space="preserve">spontaneously seek evidence </w:t>
      </w:r>
      <w:r w:rsidR="00271F3A">
        <w:rPr>
          <w:rFonts w:ascii="Times New Roman" w:eastAsia="Times New Roman" w:hAnsi="Times New Roman" w:cs="Times New Roman"/>
          <w:sz w:val="24"/>
          <w:szCs w:val="24"/>
        </w:rPr>
        <w:t xml:space="preserve">about </w:t>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tangible resources </w:t>
      </w:r>
      <w:r w:rsidR="00271F3A">
        <w:rPr>
          <w:rFonts w:ascii="Times New Roman" w:eastAsia="Times New Roman" w:hAnsi="Times New Roman" w:cs="Times New Roman"/>
          <w:sz w:val="24"/>
          <w:szCs w:val="24"/>
        </w:rPr>
        <w:t>involved in its production</w:t>
      </w:r>
      <w:r>
        <w:rPr>
          <w:rFonts w:ascii="Times New Roman" w:eastAsia="Times New Roman" w:hAnsi="Times New Roman" w:cs="Times New Roman"/>
          <w:sz w:val="24"/>
          <w:szCs w:val="24"/>
        </w:rPr>
        <w:t xml:space="preserve">. </w:t>
      </w:r>
      <w:r w:rsidR="00271F3A">
        <w:rPr>
          <w:rFonts w:ascii="Times New Roman" w:eastAsia="Times New Roman" w:hAnsi="Times New Roman" w:cs="Times New Roman"/>
          <w:sz w:val="24"/>
          <w:szCs w:val="24"/>
        </w:rPr>
        <w:t>By</w:t>
      </w:r>
      <w:r>
        <w:rPr>
          <w:rFonts w:ascii="Times New Roman" w:eastAsia="Times New Roman" w:hAnsi="Times New Roman" w:cs="Times New Roman"/>
          <w:sz w:val="24"/>
          <w:szCs w:val="24"/>
        </w:rPr>
        <w:t xml:space="preserve"> </w:t>
      </w:r>
      <w:r w:rsidRPr="003F0243">
        <w:rPr>
          <w:rFonts w:ascii="Times New Roman" w:eastAsia="Times New Roman" w:hAnsi="Times New Roman" w:cs="Times New Roman"/>
          <w:i/>
          <w:iCs/>
          <w:sz w:val="24"/>
          <w:szCs w:val="24"/>
        </w:rPr>
        <w:t>tangible manufacturing resources</w:t>
      </w:r>
      <w:r w:rsidR="00271F3A">
        <w:rPr>
          <w:rFonts w:ascii="Times New Roman" w:eastAsia="Times New Roman" w:hAnsi="Times New Roman" w:cs="Times New Roman"/>
          <w:sz w:val="24"/>
          <w:szCs w:val="24"/>
        </w:rPr>
        <w:t>, we mean</w:t>
      </w:r>
      <w:r>
        <w:rPr>
          <w:rFonts w:ascii="Times New Roman" w:eastAsia="Times New Roman" w:hAnsi="Times New Roman" w:cs="Times New Roman"/>
          <w:sz w:val="24"/>
          <w:szCs w:val="24"/>
        </w:rPr>
        <w:t xml:space="preserve"> the total amount of physical </w:t>
      </w:r>
      <w:r w:rsidR="00271F3A">
        <w:rPr>
          <w:rFonts w:ascii="Times New Roman" w:eastAsia="Times New Roman" w:hAnsi="Times New Roman" w:cs="Times New Roman"/>
          <w:sz w:val="24"/>
          <w:szCs w:val="24"/>
        </w:rPr>
        <w:t xml:space="preserve">inputs </w:t>
      </w:r>
      <w:r>
        <w:rPr>
          <w:rFonts w:ascii="Times New Roman" w:eastAsia="Times New Roman" w:hAnsi="Times New Roman" w:cs="Times New Roman"/>
          <w:sz w:val="24"/>
          <w:szCs w:val="24"/>
        </w:rPr>
        <w:t xml:space="preserve">required </w:t>
      </w:r>
      <w:r w:rsidR="00271F3A">
        <w:rPr>
          <w:rFonts w:ascii="Times New Roman" w:eastAsia="Times New Roman" w:hAnsi="Times New Roman" w:cs="Times New Roman"/>
          <w:sz w:val="24"/>
          <w:szCs w:val="24"/>
        </w:rPr>
        <w:t>to make the product itself</w:t>
      </w:r>
      <w:r>
        <w:rPr>
          <w:rFonts w:ascii="Times New Roman" w:eastAsia="Times New Roman" w:hAnsi="Times New Roman" w:cs="Times New Roman"/>
          <w:sz w:val="24"/>
          <w:szCs w:val="24"/>
        </w:rPr>
        <w:t>, including energy, raw materials, production steps, and ingredients (in contrast to intangible resources like knowledge, skills, or time).</w:t>
      </w:r>
      <w:r w:rsidR="007415C4">
        <w:rPr>
          <w:rFonts w:ascii="Times New Roman" w:eastAsia="Times New Roman" w:hAnsi="Times New Roman" w:cs="Times New Roman" w:hint="eastAsia"/>
          <w:sz w:val="24"/>
          <w:szCs w:val="24"/>
        </w:rPr>
        <w:t xml:space="preserve"> </w:t>
      </w:r>
    </w:p>
    <w:p w14:paraId="7B97071B" w14:textId="3B2ACC27" w:rsidR="00BD7323" w:rsidRDefault="00FF1ADF">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Lay theories linking</w:t>
      </w:r>
      <w:r w:rsidR="006E2B95">
        <w:rPr>
          <w:rFonts w:ascii="Times New Roman" w:eastAsia="Times New Roman" w:hAnsi="Times New Roman" w:cs="Times New Roman"/>
          <w:sz w:val="24"/>
          <w:szCs w:val="24"/>
        </w:rPr>
        <w:t xml:space="preserve"> manufacturing resources </w:t>
      </w:r>
      <w:r>
        <w:rPr>
          <w:rFonts w:ascii="Times New Roman" w:eastAsia="Times New Roman" w:hAnsi="Times New Roman" w:cs="Times New Roman"/>
          <w:sz w:val="24"/>
          <w:szCs w:val="24"/>
        </w:rPr>
        <w:t xml:space="preserve">to </w:t>
      </w:r>
      <w:r w:rsidR="006E2B95">
        <w:rPr>
          <w:rFonts w:ascii="Times New Roman" w:eastAsia="Times New Roman" w:hAnsi="Times New Roman" w:cs="Times New Roman"/>
          <w:sz w:val="24"/>
          <w:szCs w:val="24"/>
        </w:rPr>
        <w:t xml:space="preserve">a product’s efficacy and eco-friendliness </w:t>
      </w:r>
      <w:r>
        <w:rPr>
          <w:rFonts w:ascii="Times New Roman" w:eastAsia="Times New Roman" w:hAnsi="Times New Roman" w:cs="Times New Roman"/>
          <w:sz w:val="24"/>
          <w:szCs w:val="24"/>
        </w:rPr>
        <w:t xml:space="preserve">are </w:t>
      </w:r>
      <w:r w:rsidR="00271F3A">
        <w:rPr>
          <w:rFonts w:ascii="Times New Roman" w:eastAsia="Times New Roman" w:hAnsi="Times New Roman" w:cs="Times New Roman"/>
          <w:sz w:val="24"/>
          <w:szCs w:val="24"/>
        </w:rPr>
        <w:t xml:space="preserve">well-established and </w:t>
      </w:r>
      <w:r w:rsidR="006E2B95">
        <w:rPr>
          <w:rFonts w:ascii="Times New Roman" w:eastAsia="Times New Roman" w:hAnsi="Times New Roman" w:cs="Times New Roman"/>
          <w:sz w:val="24"/>
          <w:szCs w:val="24"/>
        </w:rPr>
        <w:t>intuitive (Tukker et al. 2016)</w:t>
      </w:r>
      <w:r>
        <w:rPr>
          <w:rFonts w:ascii="Times New Roman" w:eastAsia="Times New Roman" w:hAnsi="Times New Roman" w:cs="Times New Roman"/>
          <w:sz w:val="24"/>
          <w:szCs w:val="24"/>
        </w:rPr>
        <w:t>, though they operate</w:t>
      </w:r>
      <w:r w:rsidR="006E2B95">
        <w:rPr>
          <w:rFonts w:ascii="Times New Roman" w:eastAsia="Times New Roman" w:hAnsi="Times New Roman" w:cs="Times New Roman"/>
          <w:sz w:val="24"/>
          <w:szCs w:val="24"/>
        </w:rPr>
        <w:t xml:space="preserve"> in opposite directions. </w:t>
      </w:r>
      <w:r w:rsidR="00271F3A">
        <w:rPr>
          <w:rFonts w:ascii="Times New Roman" w:eastAsia="Times New Roman" w:hAnsi="Times New Roman" w:cs="Times New Roman"/>
          <w:sz w:val="24"/>
          <w:szCs w:val="24"/>
        </w:rPr>
        <w:t>While</w:t>
      </w:r>
      <w:r w:rsidR="006E2B95">
        <w:rPr>
          <w:rFonts w:ascii="Times New Roman" w:eastAsia="Times New Roman" w:hAnsi="Times New Roman" w:cs="Times New Roman"/>
          <w:sz w:val="24"/>
          <w:szCs w:val="24"/>
        </w:rPr>
        <w:t xml:space="preserve"> exceptions</w:t>
      </w:r>
      <w:r w:rsidR="00271F3A">
        <w:rPr>
          <w:rFonts w:ascii="Times New Roman" w:eastAsia="Times New Roman" w:hAnsi="Times New Roman" w:cs="Times New Roman"/>
          <w:sz w:val="24"/>
          <w:szCs w:val="24"/>
        </w:rPr>
        <w:t xml:space="preserve"> exist</w:t>
      </w:r>
      <w:r w:rsidR="006E2B95">
        <w:rPr>
          <w:rFonts w:ascii="Times New Roman" w:eastAsia="Times New Roman" w:hAnsi="Times New Roman" w:cs="Times New Roman"/>
          <w:sz w:val="24"/>
          <w:szCs w:val="24"/>
        </w:rPr>
        <w:t xml:space="preserve">, products </w:t>
      </w:r>
      <w:r>
        <w:rPr>
          <w:rFonts w:ascii="Times New Roman" w:eastAsia="Times New Roman" w:hAnsi="Times New Roman" w:cs="Times New Roman"/>
          <w:sz w:val="24"/>
          <w:szCs w:val="24"/>
        </w:rPr>
        <w:t xml:space="preserve">that </w:t>
      </w:r>
      <w:r w:rsidR="006E2B95">
        <w:rPr>
          <w:rFonts w:ascii="Times New Roman" w:eastAsia="Times New Roman" w:hAnsi="Times New Roman" w:cs="Times New Roman"/>
          <w:sz w:val="24"/>
          <w:szCs w:val="24"/>
        </w:rPr>
        <w:t>contain more material and require</w:t>
      </w:r>
      <w:r>
        <w:rPr>
          <w:rFonts w:ascii="Times New Roman" w:eastAsia="Times New Roman" w:hAnsi="Times New Roman" w:cs="Times New Roman"/>
          <w:sz w:val="24"/>
          <w:szCs w:val="24"/>
        </w:rPr>
        <w:t xml:space="preserve"> greater</w:t>
      </w:r>
      <w:r w:rsidR="006E2B95">
        <w:rPr>
          <w:rFonts w:ascii="Times New Roman" w:eastAsia="Times New Roman" w:hAnsi="Times New Roman" w:cs="Times New Roman"/>
          <w:sz w:val="24"/>
          <w:szCs w:val="24"/>
        </w:rPr>
        <w:t xml:space="preserve"> tangible resources </w:t>
      </w:r>
      <w:r>
        <w:rPr>
          <w:rFonts w:ascii="Times New Roman" w:eastAsia="Times New Roman" w:hAnsi="Times New Roman" w:cs="Times New Roman"/>
          <w:sz w:val="24"/>
          <w:szCs w:val="24"/>
        </w:rPr>
        <w:t xml:space="preserve">in production </w:t>
      </w:r>
      <w:r w:rsidR="006E2B95">
        <w:rPr>
          <w:rFonts w:ascii="Times New Roman" w:eastAsia="Times New Roman" w:hAnsi="Times New Roman" w:cs="Times New Roman"/>
          <w:sz w:val="24"/>
          <w:szCs w:val="24"/>
        </w:rPr>
        <w:t xml:space="preserve">are generally perceived as more efficacious (Gungor and Gupta 1999). For example, a thicker metal casing on a device increases its resistance, a larger amount of active ingredients in a medication increases its therapeutic effect, and more machinery may allow for more sophisticated processes and better quality. In these examples, more production resources intuitively increase a product’s efficacy. At the same time, reducing the amount of tangible manufacturing resources increases perceived eco-friendliness because it decreases </w:t>
      </w:r>
      <w:r w:rsidR="006E2B95">
        <w:rPr>
          <w:rFonts w:ascii="Times New Roman" w:eastAsia="Times New Roman" w:hAnsi="Times New Roman" w:cs="Times New Roman"/>
          <w:sz w:val="24"/>
          <w:szCs w:val="24"/>
        </w:rPr>
        <w:lastRenderedPageBreak/>
        <w:t xml:space="preserve">waste, resource depletion, environmental pollution, and the product’s carbon footprint (Allwood et al. 2011; Luchs et al. 2010). Companies that incorporate resource-saving production methods are regarded as eco-friendly (Albino et al. 2009), and consumers often consider raw material usage when judging products’ ecological sustainability (Tencel 2023). </w:t>
      </w:r>
    </w:p>
    <w:p w14:paraId="127CE703" w14:textId="38156974" w:rsidR="00BD7323" w:rsidRDefault="00BD7323" w:rsidP="00BD7323">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pilot study we conducted (N = 83, web appendix A) supports this intuition. When asked, using an open-ended format, what comes to mind when thinking about how effective or eco-friendly products are (separately, within-subjects), most participants spontaneously mentioned tangible manufacturing resources for both efficacy (67.5%) and eco-friendliness (91.5%).</w:t>
      </w:r>
    </w:p>
    <w:p w14:paraId="6B688296" w14:textId="6337706C" w:rsidR="00391B4B" w:rsidRDefault="00BD7323">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Whereas the lay theor</w:t>
      </w:r>
      <w:r w:rsidR="00FF1ADF">
        <w:rPr>
          <w:rFonts w:ascii="Times New Roman" w:eastAsia="Times New Roman" w:hAnsi="Times New Roman" w:cs="Times New Roman"/>
          <w:sz w:val="24"/>
          <w:szCs w:val="24"/>
        </w:rPr>
        <w:t>ies</w:t>
      </w:r>
      <w:r>
        <w:rPr>
          <w:rFonts w:ascii="Times New Roman" w:eastAsia="Times New Roman" w:hAnsi="Times New Roman" w:cs="Times New Roman"/>
          <w:sz w:val="24"/>
          <w:szCs w:val="24"/>
        </w:rPr>
        <w:t xml:space="preserve"> </w:t>
      </w:r>
      <w:r w:rsidR="00FF1ADF">
        <w:rPr>
          <w:rFonts w:ascii="Times New Roman" w:eastAsia="Times New Roman" w:hAnsi="Times New Roman" w:cs="Times New Roman"/>
          <w:sz w:val="24"/>
          <w:szCs w:val="24"/>
        </w:rPr>
        <w:t>connecting</w:t>
      </w:r>
      <w:r>
        <w:rPr>
          <w:rFonts w:ascii="Times New Roman" w:eastAsia="Times New Roman" w:hAnsi="Times New Roman" w:cs="Times New Roman"/>
          <w:sz w:val="24"/>
          <w:szCs w:val="24"/>
        </w:rPr>
        <w:t xml:space="preserve"> tangible manufacturing resources with </w:t>
      </w:r>
      <w:r w:rsidR="00FF1ADF">
        <w:rPr>
          <w:rFonts w:ascii="Times New Roman" w:eastAsia="Times New Roman" w:hAnsi="Times New Roman" w:cs="Times New Roman"/>
          <w:sz w:val="24"/>
          <w:szCs w:val="24"/>
        </w:rPr>
        <w:t xml:space="preserve">perceptions of </w:t>
      </w:r>
      <w:r>
        <w:rPr>
          <w:rFonts w:ascii="Times New Roman" w:eastAsia="Times New Roman" w:hAnsi="Times New Roman" w:cs="Times New Roman"/>
          <w:sz w:val="24"/>
          <w:szCs w:val="24"/>
        </w:rPr>
        <w:t xml:space="preserve">efficacy and eco-friendliness </w:t>
      </w:r>
      <w:r w:rsidR="00FF1ADF">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well-established and intuitive, the role </w:t>
      </w:r>
      <w:r w:rsidR="00FF1ADF">
        <w:rPr>
          <w:rFonts w:ascii="Times New Roman" w:eastAsia="Times New Roman" w:hAnsi="Times New Roman" w:cs="Times New Roman"/>
          <w:sz w:val="24"/>
          <w:szCs w:val="24"/>
        </w:rPr>
        <w:t xml:space="preserve">of package </w:t>
      </w:r>
      <w:r>
        <w:rPr>
          <w:rFonts w:ascii="Times New Roman" w:eastAsia="Times New Roman" w:hAnsi="Times New Roman" w:cs="Times New Roman"/>
          <w:sz w:val="24"/>
          <w:szCs w:val="24"/>
        </w:rPr>
        <w:t xml:space="preserve">visual complexity in </w:t>
      </w:r>
      <w:r w:rsidR="00FF1ADF">
        <w:rPr>
          <w:rFonts w:ascii="Times New Roman" w:eastAsia="Times New Roman" w:hAnsi="Times New Roman" w:cs="Times New Roman"/>
          <w:sz w:val="24"/>
          <w:szCs w:val="24"/>
        </w:rPr>
        <w:t xml:space="preserve">shaping </w:t>
      </w:r>
      <w:r>
        <w:rPr>
          <w:rFonts w:ascii="Times New Roman" w:eastAsia="Times New Roman" w:hAnsi="Times New Roman" w:cs="Times New Roman"/>
          <w:sz w:val="24"/>
          <w:szCs w:val="24"/>
        </w:rPr>
        <w:t xml:space="preserve">these perceptions </w:t>
      </w:r>
      <w:r w:rsidR="00FF1ADF">
        <w:rPr>
          <w:rFonts w:ascii="Times New Roman" w:eastAsia="Times New Roman" w:hAnsi="Times New Roman" w:cs="Times New Roman"/>
          <w:sz w:val="24"/>
          <w:szCs w:val="24"/>
        </w:rPr>
        <w:t>remains less understood</w:t>
      </w:r>
      <w:r>
        <w:rPr>
          <w:rFonts w:ascii="Times New Roman" w:eastAsia="Times New Roman" w:hAnsi="Times New Roman" w:cs="Times New Roman"/>
          <w:sz w:val="24"/>
          <w:szCs w:val="24"/>
        </w:rPr>
        <w:t xml:space="preserve">. </w:t>
      </w:r>
      <w:r w:rsidR="006E2B95">
        <w:rPr>
          <w:rFonts w:ascii="Times New Roman" w:eastAsia="Times New Roman" w:hAnsi="Times New Roman" w:cs="Times New Roman"/>
          <w:sz w:val="24"/>
          <w:szCs w:val="24"/>
        </w:rPr>
        <w:t xml:space="preserve">We propose that consumers may </w:t>
      </w:r>
      <w:r w:rsidR="00FF1ADF">
        <w:rPr>
          <w:rFonts w:ascii="Times New Roman" w:eastAsia="Times New Roman" w:hAnsi="Times New Roman" w:cs="Times New Roman"/>
          <w:sz w:val="24"/>
          <w:szCs w:val="24"/>
        </w:rPr>
        <w:t xml:space="preserve">also </w:t>
      </w:r>
      <w:r w:rsidR="006E2B95">
        <w:rPr>
          <w:rFonts w:ascii="Times New Roman" w:eastAsia="Times New Roman" w:hAnsi="Times New Roman" w:cs="Times New Roman"/>
          <w:sz w:val="24"/>
          <w:szCs w:val="24"/>
        </w:rPr>
        <w:t xml:space="preserve">hold a lay theory linking </w:t>
      </w:r>
      <w:r w:rsidR="00FF1ADF">
        <w:rPr>
          <w:rFonts w:ascii="Times New Roman" w:eastAsia="Times New Roman" w:hAnsi="Times New Roman" w:cs="Times New Roman"/>
          <w:sz w:val="24"/>
          <w:szCs w:val="24"/>
        </w:rPr>
        <w:t xml:space="preserve">package </w:t>
      </w:r>
      <w:r w:rsidR="008E00E0">
        <w:rPr>
          <w:rFonts w:ascii="Times New Roman" w:eastAsia="Times New Roman" w:hAnsi="Times New Roman" w:cs="Times New Roman"/>
          <w:sz w:val="24"/>
          <w:szCs w:val="24"/>
        </w:rPr>
        <w:t xml:space="preserve">visual </w:t>
      </w:r>
      <w:r w:rsidR="006E2B95">
        <w:rPr>
          <w:rFonts w:ascii="Times New Roman" w:eastAsia="Times New Roman" w:hAnsi="Times New Roman" w:cs="Times New Roman"/>
          <w:sz w:val="24"/>
          <w:szCs w:val="24"/>
        </w:rPr>
        <w:t xml:space="preserve">complexity to manufacturing resource use, intuiting that more </w:t>
      </w:r>
      <w:r w:rsidR="00FF1ADF">
        <w:rPr>
          <w:rFonts w:ascii="Times New Roman" w:eastAsia="Times New Roman" w:hAnsi="Times New Roman" w:cs="Times New Roman"/>
          <w:sz w:val="24"/>
          <w:szCs w:val="24"/>
        </w:rPr>
        <w:t xml:space="preserve">visually </w:t>
      </w:r>
      <w:r w:rsidR="006E2B95">
        <w:rPr>
          <w:rFonts w:ascii="Times New Roman" w:eastAsia="Times New Roman" w:hAnsi="Times New Roman" w:cs="Times New Roman"/>
          <w:sz w:val="24"/>
          <w:szCs w:val="24"/>
        </w:rPr>
        <w:t xml:space="preserve">complex </w:t>
      </w:r>
      <w:r w:rsidR="00FF1ADF">
        <w:rPr>
          <w:rFonts w:ascii="Times New Roman" w:eastAsia="Times New Roman" w:hAnsi="Times New Roman" w:cs="Times New Roman"/>
          <w:sz w:val="24"/>
          <w:szCs w:val="24"/>
        </w:rPr>
        <w:t>designs signal</w:t>
      </w:r>
      <w:r w:rsidR="006E2B95">
        <w:rPr>
          <w:rFonts w:ascii="Times New Roman" w:eastAsia="Times New Roman" w:hAnsi="Times New Roman" w:cs="Times New Roman"/>
          <w:sz w:val="24"/>
          <w:szCs w:val="24"/>
        </w:rPr>
        <w:t xml:space="preserve"> greater use of manufacturing resources, while simpler designs suggest </w:t>
      </w:r>
      <w:r w:rsidR="000628B7">
        <w:rPr>
          <w:rFonts w:ascii="Times New Roman" w:eastAsia="Times New Roman" w:hAnsi="Times New Roman" w:cs="Times New Roman"/>
          <w:sz w:val="24"/>
          <w:szCs w:val="24"/>
        </w:rPr>
        <w:t>fewer</w:t>
      </w:r>
      <w:r w:rsidR="00FF1ADF">
        <w:rPr>
          <w:rFonts w:ascii="Times New Roman" w:eastAsia="Times New Roman" w:hAnsi="Times New Roman" w:cs="Times New Roman"/>
          <w:sz w:val="24"/>
          <w:szCs w:val="24"/>
        </w:rPr>
        <w:t xml:space="preserve"> </w:t>
      </w:r>
      <w:r w:rsidR="006E2B95">
        <w:rPr>
          <w:rFonts w:ascii="Times New Roman" w:eastAsia="Times New Roman" w:hAnsi="Times New Roman" w:cs="Times New Roman"/>
          <w:sz w:val="24"/>
          <w:szCs w:val="24"/>
        </w:rPr>
        <w:t xml:space="preserve">resources. </w:t>
      </w:r>
    </w:p>
    <w:p w14:paraId="2366B6CB" w14:textId="0B5AE4AB"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w:t>
      </w:r>
      <w:r w:rsidR="00C525F5">
        <w:rPr>
          <w:rFonts w:ascii="Times New Roman" w:eastAsia="Times New Roman" w:hAnsi="Times New Roman" w:cs="Times New Roman"/>
          <w:sz w:val="24"/>
          <w:szCs w:val="24"/>
        </w:rPr>
        <w:t>origin</w:t>
      </w:r>
      <w:r w:rsidR="00504C1B">
        <w:rPr>
          <w:rFonts w:ascii="Times New Roman" w:eastAsia="Times New Roman" w:hAnsi="Times New Roman" w:cs="Times New Roman"/>
          <w:sz w:val="24"/>
          <w:szCs w:val="24"/>
        </w:rPr>
        <w:t>s</w:t>
      </w:r>
      <w:r w:rsidR="00C525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lay theor</w:t>
      </w:r>
      <w:r w:rsidR="00504C1B">
        <w:rPr>
          <w:rFonts w:ascii="Times New Roman" w:eastAsia="Times New Roman" w:hAnsi="Times New Roman" w:cs="Times New Roman"/>
          <w:sz w:val="24"/>
          <w:szCs w:val="24"/>
        </w:rPr>
        <w:t>ies</w:t>
      </w:r>
      <w:r>
        <w:rPr>
          <w:rFonts w:ascii="Times New Roman" w:eastAsia="Times New Roman" w:hAnsi="Times New Roman" w:cs="Times New Roman"/>
          <w:sz w:val="24"/>
          <w:szCs w:val="24"/>
        </w:rPr>
        <w:t xml:space="preserve"> </w:t>
      </w:r>
      <w:r w:rsidR="000628B7">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difficult to pinpoint, </w:t>
      </w:r>
      <w:r w:rsidR="00C525F5">
        <w:rPr>
          <w:rFonts w:ascii="Times New Roman" w:eastAsia="Times New Roman" w:hAnsi="Times New Roman" w:cs="Times New Roman"/>
          <w:sz w:val="24"/>
          <w:szCs w:val="24"/>
        </w:rPr>
        <w:t xml:space="preserve">they often </w:t>
      </w:r>
      <w:r w:rsidR="00504C1B">
        <w:rPr>
          <w:rFonts w:ascii="Times New Roman" w:eastAsia="Times New Roman" w:hAnsi="Times New Roman" w:cs="Times New Roman"/>
          <w:sz w:val="24"/>
          <w:szCs w:val="24"/>
        </w:rPr>
        <w:t>stem</w:t>
      </w:r>
      <w:r>
        <w:rPr>
          <w:rFonts w:ascii="Times New Roman" w:eastAsia="Times New Roman" w:hAnsi="Times New Roman" w:cs="Times New Roman"/>
          <w:sz w:val="24"/>
          <w:szCs w:val="24"/>
        </w:rPr>
        <w:t xml:space="preserve"> from personal experience, self-reflection, </w:t>
      </w:r>
      <w:r w:rsidR="00504C1B">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observ</w:t>
      </w:r>
      <w:r w:rsidR="00504C1B">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co-occurrences between phenomena (Fisher 2003; Kelley and Thibaut 1969; Zane et al. 2020). One potential source of the lay theory linking </w:t>
      </w:r>
      <w:r w:rsidR="00C525F5">
        <w:rPr>
          <w:rFonts w:ascii="Times New Roman" w:eastAsia="Times New Roman" w:hAnsi="Times New Roman" w:cs="Times New Roman"/>
          <w:sz w:val="24"/>
          <w:szCs w:val="24"/>
        </w:rPr>
        <w:t xml:space="preserve">visual </w:t>
      </w:r>
      <w:r>
        <w:rPr>
          <w:rFonts w:ascii="Times New Roman" w:eastAsia="Times New Roman" w:hAnsi="Times New Roman" w:cs="Times New Roman"/>
          <w:sz w:val="24"/>
          <w:szCs w:val="24"/>
        </w:rPr>
        <w:t xml:space="preserve">complexity to manufacturing resources is </w:t>
      </w:r>
      <w:r w:rsidR="00504C1B">
        <w:rPr>
          <w:rFonts w:ascii="Times New Roman" w:eastAsia="Times New Roman" w:hAnsi="Times New Roman" w:cs="Times New Roman"/>
          <w:sz w:val="24"/>
          <w:szCs w:val="24"/>
        </w:rPr>
        <w:t xml:space="preserve">prior </w:t>
      </w:r>
      <w:r>
        <w:rPr>
          <w:rFonts w:ascii="Times New Roman" w:eastAsia="Times New Roman" w:hAnsi="Times New Roman" w:cs="Times New Roman"/>
          <w:sz w:val="24"/>
          <w:szCs w:val="24"/>
        </w:rPr>
        <w:t xml:space="preserve">experience: brands associated with purity and naturalness often have minimalistic designs (Ton et al. 2024), and consumers may overgeneralize this association (Yang et al. 2023). Even </w:t>
      </w:r>
      <w:r w:rsidR="00504C1B">
        <w:rPr>
          <w:rFonts w:ascii="Times New Roman" w:eastAsia="Times New Roman" w:hAnsi="Times New Roman" w:cs="Times New Roman"/>
          <w:sz w:val="24"/>
          <w:szCs w:val="24"/>
        </w:rPr>
        <w:t>without</w:t>
      </w:r>
      <w:r>
        <w:rPr>
          <w:rFonts w:ascii="Times New Roman" w:eastAsia="Times New Roman" w:hAnsi="Times New Roman" w:cs="Times New Roman"/>
          <w:sz w:val="24"/>
          <w:szCs w:val="24"/>
        </w:rPr>
        <w:t xml:space="preserve"> direct experience, the</w:t>
      </w:r>
      <w:r w:rsidR="00504C1B">
        <w:rPr>
          <w:rFonts w:ascii="Times New Roman" w:eastAsia="Times New Roman" w:hAnsi="Times New Roman" w:cs="Times New Roman"/>
          <w:sz w:val="24"/>
          <w:szCs w:val="24"/>
        </w:rPr>
        <w:t xml:space="preserve"> association may arise from</w:t>
      </w:r>
      <w:r>
        <w:rPr>
          <w:rFonts w:ascii="Times New Roman" w:eastAsia="Times New Roman" w:hAnsi="Times New Roman" w:cs="Times New Roman"/>
          <w:sz w:val="24"/>
          <w:szCs w:val="24"/>
        </w:rPr>
        <w:t xml:space="preserve"> semantic similarity between </w:t>
      </w:r>
      <w:r w:rsidR="00504C1B">
        <w:rPr>
          <w:rFonts w:ascii="Times New Roman" w:eastAsia="Times New Roman" w:hAnsi="Times New Roman" w:cs="Times New Roman"/>
          <w:sz w:val="24"/>
          <w:szCs w:val="24"/>
        </w:rPr>
        <w:t xml:space="preserve">design </w:t>
      </w:r>
      <w:r>
        <w:rPr>
          <w:rFonts w:ascii="Times New Roman" w:eastAsia="Times New Roman" w:hAnsi="Times New Roman" w:cs="Times New Roman"/>
          <w:sz w:val="24"/>
          <w:szCs w:val="24"/>
        </w:rPr>
        <w:t>features (</w:t>
      </w:r>
      <w:r w:rsidR="00504C1B">
        <w:rPr>
          <w:rFonts w:ascii="Times New Roman" w:eastAsia="Times New Roman" w:hAnsi="Times New Roman" w:cs="Times New Roman"/>
          <w:sz w:val="24"/>
          <w:szCs w:val="24"/>
        </w:rPr>
        <w:t>e.g.</w:t>
      </w:r>
      <w:r>
        <w:rPr>
          <w:rFonts w:ascii="Times New Roman" w:eastAsia="Times New Roman" w:hAnsi="Times New Roman" w:cs="Times New Roman"/>
          <w:sz w:val="24"/>
          <w:szCs w:val="24"/>
        </w:rPr>
        <w:t xml:space="preserve">, the </w:t>
      </w:r>
      <w:r w:rsidR="00504C1B">
        <w:rPr>
          <w:rFonts w:ascii="Times New Roman" w:eastAsia="Times New Roman" w:hAnsi="Times New Roman" w:cs="Times New Roman"/>
          <w:sz w:val="24"/>
          <w:szCs w:val="24"/>
        </w:rPr>
        <w:t xml:space="preserve">amount </w:t>
      </w:r>
      <w:r>
        <w:rPr>
          <w:rFonts w:ascii="Times New Roman" w:eastAsia="Times New Roman" w:hAnsi="Times New Roman" w:cs="Times New Roman"/>
          <w:sz w:val="24"/>
          <w:szCs w:val="24"/>
        </w:rPr>
        <w:t>of visual detail) and inferred product qualities (e.</w:t>
      </w:r>
      <w:r w:rsidR="00504C1B">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the </w:t>
      </w:r>
      <w:r w:rsidR="00504C1B">
        <w:rPr>
          <w:rFonts w:ascii="Times New Roman" w:eastAsia="Times New Roman" w:hAnsi="Times New Roman" w:cs="Times New Roman"/>
          <w:sz w:val="24"/>
          <w:szCs w:val="24"/>
        </w:rPr>
        <w:t xml:space="preserve">amount </w:t>
      </w:r>
      <w:r>
        <w:rPr>
          <w:rFonts w:ascii="Times New Roman" w:eastAsia="Times New Roman" w:hAnsi="Times New Roman" w:cs="Times New Roman"/>
          <w:sz w:val="24"/>
          <w:szCs w:val="24"/>
        </w:rPr>
        <w:t xml:space="preserve">of manufacturing resources; </w:t>
      </w:r>
      <w:r>
        <w:rPr>
          <w:rFonts w:ascii="Times New Roman" w:eastAsia="Times New Roman" w:hAnsi="Times New Roman" w:cs="Times New Roman"/>
          <w:sz w:val="24"/>
          <w:szCs w:val="24"/>
        </w:rPr>
        <w:lastRenderedPageBreak/>
        <w:t xml:space="preserve">Hutchinson et al. 2003; Masson 1995; McRae and Boisvert 1998). </w:t>
      </w:r>
      <w:r w:rsidR="00504C1B">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erms </w:t>
      </w:r>
      <w:r w:rsidR="00504C1B">
        <w:rPr>
          <w:rFonts w:ascii="Times New Roman" w:eastAsia="Times New Roman" w:hAnsi="Times New Roman" w:cs="Times New Roman"/>
          <w:sz w:val="24"/>
          <w:szCs w:val="24"/>
        </w:rPr>
        <w:t xml:space="preserve">used to </w:t>
      </w:r>
      <w:r>
        <w:rPr>
          <w:rFonts w:ascii="Times New Roman" w:eastAsia="Times New Roman" w:hAnsi="Times New Roman" w:cs="Times New Roman"/>
          <w:sz w:val="24"/>
          <w:szCs w:val="24"/>
        </w:rPr>
        <w:t>describe visually complex design</w:t>
      </w:r>
      <w:r w:rsidR="00504C1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(e.g., packed, rich, full, dense, abundant) </w:t>
      </w:r>
      <w:r w:rsidR="00504C1B">
        <w:rPr>
          <w:rFonts w:ascii="Times New Roman" w:eastAsia="Times New Roman" w:hAnsi="Times New Roman" w:cs="Times New Roman"/>
          <w:sz w:val="24"/>
          <w:szCs w:val="24"/>
        </w:rPr>
        <w:t xml:space="preserve">can </w:t>
      </w:r>
      <w:r>
        <w:rPr>
          <w:rFonts w:ascii="Times New Roman" w:eastAsia="Times New Roman" w:hAnsi="Times New Roman" w:cs="Times New Roman"/>
          <w:sz w:val="24"/>
          <w:szCs w:val="24"/>
        </w:rPr>
        <w:t>also describe resource-</w:t>
      </w:r>
      <w:r w:rsidR="00504C1B">
        <w:rPr>
          <w:rFonts w:ascii="Times New Roman" w:eastAsia="Times New Roman" w:hAnsi="Times New Roman" w:cs="Times New Roman"/>
          <w:sz w:val="24"/>
          <w:szCs w:val="24"/>
        </w:rPr>
        <w:t>intensive</w:t>
      </w:r>
      <w:r>
        <w:rPr>
          <w:rFonts w:ascii="Times New Roman" w:eastAsia="Times New Roman" w:hAnsi="Times New Roman" w:cs="Times New Roman"/>
          <w:sz w:val="24"/>
          <w:szCs w:val="24"/>
        </w:rPr>
        <w:t xml:space="preserve"> product</w:t>
      </w:r>
      <w:r w:rsidR="00504C1B">
        <w:rPr>
          <w:rFonts w:ascii="Times New Roman" w:eastAsia="Times New Roman" w:hAnsi="Times New Roman" w:cs="Times New Roman"/>
          <w:sz w:val="24"/>
          <w:szCs w:val="24"/>
        </w:rPr>
        <w:t>ion</w:t>
      </w:r>
      <w:r>
        <w:rPr>
          <w:rFonts w:ascii="Times New Roman" w:eastAsia="Times New Roman" w:hAnsi="Times New Roman" w:cs="Times New Roman"/>
          <w:sz w:val="24"/>
          <w:szCs w:val="24"/>
        </w:rPr>
        <w:t xml:space="preserve">. </w:t>
      </w:r>
      <w:r w:rsidR="00504C1B">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semantic spillover (</w:t>
      </w:r>
      <w:proofErr w:type="spellStart"/>
      <w:r>
        <w:rPr>
          <w:rFonts w:ascii="Times New Roman" w:eastAsia="Times New Roman" w:hAnsi="Times New Roman" w:cs="Times New Roman"/>
          <w:sz w:val="24"/>
          <w:szCs w:val="24"/>
        </w:rPr>
        <w:t>Raufeisen</w:t>
      </w:r>
      <w:proofErr w:type="spellEnd"/>
      <w:r>
        <w:rPr>
          <w:rFonts w:ascii="Times New Roman" w:eastAsia="Times New Roman" w:hAnsi="Times New Roman" w:cs="Times New Roman"/>
          <w:sz w:val="24"/>
          <w:szCs w:val="24"/>
        </w:rPr>
        <w:t xml:space="preserve"> et al. 2019) can create an association</w:t>
      </w:r>
      <w:r w:rsidR="00504C1B">
        <w:rPr>
          <w:rFonts w:ascii="Times New Roman" w:eastAsia="Times New Roman" w:hAnsi="Times New Roman" w:cs="Times New Roman"/>
          <w:sz w:val="24"/>
          <w:szCs w:val="24"/>
        </w:rPr>
        <w:t xml:space="preserve"> </w:t>
      </w:r>
      <w:r w:rsidR="00504C1B" w:rsidRPr="00504C1B">
        <w:rPr>
          <w:rFonts w:ascii="Times New Roman" w:eastAsia="Times New Roman" w:hAnsi="Times New Roman" w:cs="Times New Roman"/>
          <w:sz w:val="24"/>
          <w:szCs w:val="24"/>
        </w:rPr>
        <w:t>between package design and beliefs about manufacturing</w:t>
      </w:r>
      <w:r w:rsidR="00504C1B">
        <w:rPr>
          <w:rFonts w:ascii="Times New Roman" w:eastAsia="Times New Roman" w:hAnsi="Times New Roman" w:cs="Times New Roman"/>
          <w:sz w:val="24"/>
          <w:szCs w:val="24"/>
        </w:rPr>
        <w:t xml:space="preserve">. </w:t>
      </w:r>
      <w:r w:rsidR="00504C1B" w:rsidRPr="00504C1B">
        <w:rPr>
          <w:rFonts w:ascii="-webkit-standard" w:hAnsi="-webkit-standard"/>
          <w:color w:val="000000"/>
          <w:sz w:val="27"/>
          <w:szCs w:val="27"/>
        </w:rPr>
        <w:t xml:space="preserve"> </w:t>
      </w:r>
      <w:r w:rsidR="00504C1B" w:rsidRPr="00504C1B">
        <w:rPr>
          <w:rFonts w:ascii="Times New Roman" w:eastAsia="Times New Roman" w:hAnsi="Times New Roman" w:cs="Times New Roman"/>
          <w:sz w:val="24"/>
          <w:szCs w:val="24"/>
        </w:rPr>
        <w:t>Importantly, we argue that consumers use package visual complexity as a cue to the product’s underlying manufacturing resources, not merely those of the package itself. </w:t>
      </w:r>
      <w:r>
        <w:rPr>
          <w:rFonts w:ascii="Times New Roman" w:eastAsia="Times New Roman" w:hAnsi="Times New Roman" w:cs="Times New Roman"/>
          <w:sz w:val="24"/>
          <w:szCs w:val="24"/>
        </w:rPr>
        <w:t xml:space="preserve">Our contribution lies in documenting the </w:t>
      </w:r>
      <w:r w:rsidR="00504C1B">
        <w:rPr>
          <w:rFonts w:ascii="Times New Roman" w:eastAsia="Times New Roman" w:hAnsi="Times New Roman" w:cs="Times New Roman"/>
          <w:sz w:val="24"/>
          <w:szCs w:val="24"/>
        </w:rPr>
        <w:t xml:space="preserve">existence </w:t>
      </w:r>
      <w:r>
        <w:rPr>
          <w:rFonts w:ascii="Times New Roman" w:eastAsia="Times New Roman" w:hAnsi="Times New Roman" w:cs="Times New Roman"/>
          <w:sz w:val="24"/>
          <w:szCs w:val="24"/>
        </w:rPr>
        <w:t>and consequences of this lay theory, not in empirically testing its origins.</w:t>
      </w:r>
    </w:p>
    <w:p w14:paraId="367F5ECA" w14:textId="77777777" w:rsidR="00391B4B" w:rsidRDefault="00391B4B">
      <w:pPr>
        <w:spacing w:after="0" w:line="480" w:lineRule="auto"/>
        <w:rPr>
          <w:rFonts w:ascii="Times New Roman" w:eastAsia="Times New Roman" w:hAnsi="Times New Roman" w:cs="Times New Roman"/>
          <w:sz w:val="24"/>
          <w:szCs w:val="24"/>
        </w:rPr>
      </w:pPr>
    </w:p>
    <w:p w14:paraId="4F644B71" w14:textId="77777777" w:rsidR="00391B4B" w:rsidRPr="003F0243" w:rsidRDefault="006E2B95">
      <w:pPr>
        <w:spacing w:after="0" w:line="480" w:lineRule="auto"/>
        <w:rPr>
          <w:rFonts w:ascii="Times New Roman" w:eastAsia="Times New Roman" w:hAnsi="Times New Roman" w:cs="Times New Roman"/>
          <w:b/>
          <w:sz w:val="28"/>
          <w:szCs w:val="28"/>
        </w:rPr>
      </w:pPr>
      <w:r w:rsidRPr="003F0243">
        <w:rPr>
          <w:rFonts w:ascii="Times New Roman" w:eastAsia="Times New Roman" w:hAnsi="Times New Roman" w:cs="Times New Roman"/>
          <w:b/>
          <w:sz w:val="28"/>
          <w:szCs w:val="28"/>
        </w:rPr>
        <w:t>The current research</w:t>
      </w:r>
    </w:p>
    <w:p w14:paraId="55AF02A5" w14:textId="77777777" w:rsidR="00391B4B" w:rsidRDefault="00391B4B">
      <w:pPr>
        <w:spacing w:after="0" w:line="480" w:lineRule="auto"/>
        <w:rPr>
          <w:rFonts w:ascii="Times New Roman" w:eastAsia="Times New Roman" w:hAnsi="Times New Roman" w:cs="Times New Roman"/>
          <w:sz w:val="24"/>
          <w:szCs w:val="24"/>
        </w:rPr>
      </w:pPr>
    </w:p>
    <w:p w14:paraId="3605508E" w14:textId="2C14141D"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Drawing these pieces together, we propose that when efficacy or eco-friendliness </w:t>
      </w:r>
      <w:r w:rsidR="00E36CF6">
        <w:rPr>
          <w:rFonts w:ascii="Times New Roman" w:eastAsia="Times New Roman" w:hAnsi="Times New Roman" w:cs="Times New Roman"/>
          <w:sz w:val="24"/>
          <w:szCs w:val="24"/>
        </w:rPr>
        <w:t xml:space="preserve">is a salient </w:t>
      </w:r>
      <w:r>
        <w:rPr>
          <w:rFonts w:ascii="Times New Roman" w:eastAsia="Times New Roman" w:hAnsi="Times New Roman" w:cs="Times New Roman"/>
          <w:sz w:val="24"/>
          <w:szCs w:val="24"/>
        </w:rPr>
        <w:t>evaluation criterion – and in the absence of more diagnostic information (</w:t>
      </w:r>
      <w:proofErr w:type="spellStart"/>
      <w:r>
        <w:rPr>
          <w:rFonts w:ascii="Times New Roman" w:eastAsia="Times New Roman" w:hAnsi="Times New Roman" w:cs="Times New Roman"/>
          <w:sz w:val="24"/>
          <w:szCs w:val="24"/>
        </w:rPr>
        <w:t>Kardes</w:t>
      </w:r>
      <w:proofErr w:type="spellEnd"/>
      <w:r>
        <w:rPr>
          <w:rFonts w:ascii="Times New Roman" w:eastAsia="Times New Roman" w:hAnsi="Times New Roman" w:cs="Times New Roman"/>
          <w:sz w:val="24"/>
          <w:szCs w:val="24"/>
        </w:rPr>
        <w:t xml:space="preserve"> et al. 2004) – consumers spontaneously seek out cues that signal manufacturing resource use, </w:t>
      </w:r>
      <w:r w:rsidR="00E36CF6" w:rsidRPr="00E36CF6">
        <w:rPr>
          <w:rFonts w:ascii="Times New Roman" w:eastAsia="Times New Roman" w:hAnsi="Times New Roman" w:cs="Times New Roman"/>
          <w:sz w:val="24"/>
          <w:szCs w:val="24"/>
        </w:rPr>
        <w:t xml:space="preserve">given the well-established link between </w:t>
      </w:r>
      <w:r w:rsidR="00E36CF6">
        <w:rPr>
          <w:rFonts w:ascii="Times New Roman" w:eastAsia="Times New Roman" w:hAnsi="Times New Roman" w:cs="Times New Roman"/>
          <w:sz w:val="24"/>
          <w:szCs w:val="24"/>
        </w:rPr>
        <w:t xml:space="preserve">manufacturing </w:t>
      </w:r>
      <w:r w:rsidR="00E36CF6" w:rsidRPr="00E36CF6">
        <w:rPr>
          <w:rFonts w:ascii="Times New Roman" w:eastAsia="Times New Roman" w:hAnsi="Times New Roman" w:cs="Times New Roman"/>
          <w:sz w:val="24"/>
          <w:szCs w:val="24"/>
        </w:rPr>
        <w:t>resources and these judgments</w:t>
      </w:r>
      <w:r w:rsidR="00E36C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w:t>
      </w:r>
      <w:r w:rsidR="00E36CF6">
        <w:rPr>
          <w:rFonts w:ascii="Times New Roman" w:eastAsia="Times New Roman" w:hAnsi="Times New Roman" w:cs="Times New Roman"/>
          <w:sz w:val="24"/>
          <w:szCs w:val="24"/>
        </w:rPr>
        <w:t xml:space="preserve">further suggest </w:t>
      </w:r>
      <w:r>
        <w:rPr>
          <w:rFonts w:ascii="Times New Roman" w:eastAsia="Times New Roman" w:hAnsi="Times New Roman" w:cs="Times New Roman"/>
          <w:sz w:val="24"/>
          <w:szCs w:val="24"/>
        </w:rPr>
        <w:t xml:space="preserve">that </w:t>
      </w:r>
      <w:r w:rsidR="00E36CF6">
        <w:rPr>
          <w:rFonts w:ascii="Times New Roman" w:eastAsia="Times New Roman" w:hAnsi="Times New Roman" w:cs="Times New Roman"/>
          <w:sz w:val="24"/>
          <w:szCs w:val="24"/>
        </w:rPr>
        <w:t xml:space="preserve">package </w:t>
      </w:r>
      <w:r>
        <w:rPr>
          <w:rFonts w:ascii="Times New Roman" w:eastAsia="Times New Roman" w:hAnsi="Times New Roman" w:cs="Times New Roman"/>
          <w:sz w:val="24"/>
          <w:szCs w:val="24"/>
        </w:rPr>
        <w:t xml:space="preserve">visual complexity serves as one such cue, because consumers tend to hold a lay theory </w:t>
      </w:r>
      <w:r w:rsidR="00E36CF6">
        <w:rPr>
          <w:rFonts w:ascii="Times New Roman" w:eastAsia="Times New Roman" w:hAnsi="Times New Roman" w:cs="Times New Roman"/>
          <w:sz w:val="24"/>
          <w:szCs w:val="24"/>
        </w:rPr>
        <w:t xml:space="preserve">connecting visual </w:t>
      </w:r>
      <w:r>
        <w:rPr>
          <w:rFonts w:ascii="Times New Roman" w:eastAsia="Times New Roman" w:hAnsi="Times New Roman" w:cs="Times New Roman"/>
          <w:sz w:val="24"/>
          <w:szCs w:val="24"/>
        </w:rPr>
        <w:t xml:space="preserve">complexity </w:t>
      </w:r>
      <w:r w:rsidR="00E36CF6">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 xml:space="preserve">manufacturing resource abundance. As a result, visually complex packaging </w:t>
      </w:r>
      <w:r w:rsidR="00E36CF6">
        <w:rPr>
          <w:rFonts w:ascii="Times New Roman" w:eastAsia="Times New Roman" w:hAnsi="Times New Roman" w:cs="Times New Roman"/>
          <w:sz w:val="24"/>
          <w:szCs w:val="24"/>
        </w:rPr>
        <w:t xml:space="preserve">is seen </w:t>
      </w:r>
      <w:r>
        <w:rPr>
          <w:rFonts w:ascii="Times New Roman" w:eastAsia="Times New Roman" w:hAnsi="Times New Roman" w:cs="Times New Roman"/>
          <w:sz w:val="24"/>
          <w:szCs w:val="24"/>
        </w:rPr>
        <w:t xml:space="preserve">as signaling higher efficacy but lower eco-friendliness, </w:t>
      </w:r>
      <w:r w:rsidR="00E36CF6">
        <w:rPr>
          <w:rFonts w:ascii="Times New Roman" w:eastAsia="Times New Roman" w:hAnsi="Times New Roman" w:cs="Times New Roman"/>
          <w:sz w:val="24"/>
          <w:szCs w:val="24"/>
        </w:rPr>
        <w:t xml:space="preserve">whereas </w:t>
      </w:r>
      <w:r>
        <w:rPr>
          <w:rFonts w:ascii="Times New Roman" w:eastAsia="Times New Roman" w:hAnsi="Times New Roman" w:cs="Times New Roman"/>
          <w:sz w:val="24"/>
          <w:szCs w:val="24"/>
        </w:rPr>
        <w:t xml:space="preserve">simple designs </w:t>
      </w:r>
      <w:r w:rsidR="00E36CF6">
        <w:rPr>
          <w:rFonts w:ascii="Times New Roman" w:eastAsia="Times New Roman" w:hAnsi="Times New Roman" w:cs="Times New Roman"/>
          <w:sz w:val="24"/>
          <w:szCs w:val="24"/>
        </w:rPr>
        <w:t>signal</w:t>
      </w:r>
      <w:r>
        <w:rPr>
          <w:rFonts w:ascii="Times New Roman" w:eastAsia="Times New Roman" w:hAnsi="Times New Roman" w:cs="Times New Roman"/>
          <w:sz w:val="24"/>
          <w:szCs w:val="24"/>
        </w:rPr>
        <w:t xml:space="preserve"> the reverse. This, in turn, should increase the </w:t>
      </w:r>
      <w:r w:rsidR="00E36CF6">
        <w:rPr>
          <w:rFonts w:ascii="Times New Roman" w:eastAsia="Times New Roman" w:hAnsi="Times New Roman" w:cs="Times New Roman"/>
          <w:sz w:val="24"/>
          <w:szCs w:val="24"/>
        </w:rPr>
        <w:t>preference for</w:t>
      </w:r>
      <w:r>
        <w:rPr>
          <w:rFonts w:ascii="Times New Roman" w:eastAsia="Times New Roman" w:hAnsi="Times New Roman" w:cs="Times New Roman"/>
          <w:sz w:val="24"/>
          <w:szCs w:val="24"/>
        </w:rPr>
        <w:t xml:space="preserve"> complex designs when efficacy is salient and simple designs when eco-friendliness is salient.</w:t>
      </w:r>
    </w:p>
    <w:p w14:paraId="04F01E8C"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Formally:</w:t>
      </w:r>
    </w:p>
    <w:p w14:paraId="0AD094DD" w14:textId="77777777" w:rsidR="00391B4B" w:rsidRDefault="00391B4B">
      <w:pPr>
        <w:spacing w:after="0" w:line="480" w:lineRule="auto"/>
        <w:ind w:firstLine="720"/>
        <w:rPr>
          <w:rFonts w:ascii="Times New Roman" w:eastAsia="Times New Roman" w:hAnsi="Times New Roman" w:cs="Times New Roman"/>
          <w:sz w:val="24"/>
          <w:szCs w:val="24"/>
        </w:rPr>
      </w:pPr>
    </w:p>
    <w:p w14:paraId="7EEB9801" w14:textId="6003FA14" w:rsidR="00391B4B" w:rsidRDefault="006E2B95">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H1:</w:t>
      </w:r>
      <w:r>
        <w:rPr>
          <w:rFonts w:ascii="Times New Roman" w:eastAsia="Times New Roman" w:hAnsi="Times New Roman" w:cs="Times New Roman"/>
          <w:sz w:val="24"/>
          <w:szCs w:val="24"/>
        </w:rPr>
        <w:t xml:space="preserve"> When efficacy (vs. eco-friendliness) </w:t>
      </w:r>
      <w:r w:rsidR="00B41A86">
        <w:rPr>
          <w:rFonts w:ascii="Times New Roman" w:eastAsia="Times New Roman" w:hAnsi="Times New Roman" w:cs="Times New Roman"/>
          <w:sz w:val="24"/>
          <w:szCs w:val="24"/>
        </w:rPr>
        <w:t xml:space="preserve">is the salient </w:t>
      </w:r>
      <w:r>
        <w:rPr>
          <w:rFonts w:ascii="Times New Roman" w:eastAsia="Times New Roman" w:hAnsi="Times New Roman" w:cs="Times New Roman"/>
          <w:sz w:val="24"/>
          <w:szCs w:val="24"/>
        </w:rPr>
        <w:t xml:space="preserve">evaluation criterion, consumers </w:t>
      </w:r>
      <w:r w:rsidR="0077313A">
        <w:rPr>
          <w:rFonts w:ascii="Times New Roman" w:eastAsia="Times New Roman" w:hAnsi="Times New Roman" w:cs="Times New Roman"/>
          <w:sz w:val="24"/>
          <w:szCs w:val="24"/>
        </w:rPr>
        <w:t>evaluate</w:t>
      </w:r>
      <w:r>
        <w:rPr>
          <w:rFonts w:ascii="Times New Roman" w:eastAsia="Times New Roman" w:hAnsi="Times New Roman" w:cs="Times New Roman"/>
          <w:sz w:val="24"/>
          <w:szCs w:val="24"/>
        </w:rPr>
        <w:t xml:space="preserve"> products with visually complex (vs. simple) package design</w:t>
      </w:r>
      <w:r w:rsidR="00B41A86">
        <w:rPr>
          <w:rFonts w:ascii="Times New Roman" w:eastAsia="Times New Roman" w:hAnsi="Times New Roman" w:cs="Times New Roman"/>
          <w:sz w:val="24"/>
          <w:szCs w:val="24"/>
        </w:rPr>
        <w:t>s</w:t>
      </w:r>
      <w:r w:rsidR="0077313A">
        <w:rPr>
          <w:rFonts w:ascii="Times New Roman" w:eastAsia="Times New Roman" w:hAnsi="Times New Roman" w:cs="Times New Roman"/>
          <w:sz w:val="24"/>
          <w:szCs w:val="24"/>
        </w:rPr>
        <w:t xml:space="preserve"> more favorably</w:t>
      </w:r>
      <w:r w:rsidR="007B3AD8">
        <w:rPr>
          <w:rFonts w:ascii="Times New Roman" w:eastAsia="Times New Roman" w:hAnsi="Times New Roman" w:cs="Times New Roman"/>
          <w:sz w:val="24"/>
          <w:szCs w:val="24"/>
        </w:rPr>
        <w:t xml:space="preserve"> and</w:t>
      </w:r>
      <w:r w:rsidR="00731889">
        <w:rPr>
          <w:rFonts w:ascii="Times New Roman" w:eastAsia="Times New Roman" w:hAnsi="Times New Roman" w:cs="Times New Roman"/>
          <w:sz w:val="24"/>
          <w:szCs w:val="24"/>
        </w:rPr>
        <w:t>/or</w:t>
      </w:r>
      <w:r w:rsidR="007B3AD8">
        <w:rPr>
          <w:rFonts w:ascii="Times New Roman" w:eastAsia="Times New Roman" w:hAnsi="Times New Roman" w:cs="Times New Roman"/>
          <w:sz w:val="24"/>
          <w:szCs w:val="24"/>
        </w:rPr>
        <w:t xml:space="preserve"> show greater preference for them</w:t>
      </w:r>
      <w:r>
        <w:rPr>
          <w:rFonts w:ascii="Times New Roman" w:eastAsia="Times New Roman" w:hAnsi="Times New Roman" w:cs="Times New Roman"/>
          <w:sz w:val="24"/>
          <w:szCs w:val="24"/>
        </w:rPr>
        <w:t>.</w:t>
      </w:r>
    </w:p>
    <w:p w14:paraId="3E24A7B3" w14:textId="1CD7C698" w:rsidR="00B41A86" w:rsidRDefault="006E2B95">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H2:</w:t>
      </w:r>
      <w:r>
        <w:rPr>
          <w:rFonts w:ascii="Times New Roman" w:eastAsia="Times New Roman" w:hAnsi="Times New Roman" w:cs="Times New Roman"/>
          <w:sz w:val="24"/>
          <w:szCs w:val="24"/>
        </w:rPr>
        <w:t xml:space="preserve"> The effect of </w:t>
      </w:r>
      <w:r w:rsidR="00B41A86">
        <w:rPr>
          <w:rFonts w:ascii="Times New Roman" w:eastAsia="Times New Roman" w:hAnsi="Times New Roman" w:cs="Times New Roman"/>
          <w:sz w:val="24"/>
          <w:szCs w:val="24"/>
        </w:rPr>
        <w:t>visual complexity on product evaluation</w:t>
      </w:r>
      <w:r w:rsidR="007B3AD8">
        <w:rPr>
          <w:rFonts w:ascii="Times New Roman" w:eastAsia="Times New Roman" w:hAnsi="Times New Roman" w:cs="Times New Roman"/>
          <w:sz w:val="24"/>
          <w:szCs w:val="24"/>
        </w:rPr>
        <w:t xml:space="preserve"> (per H1)</w:t>
      </w:r>
      <w:r w:rsidR="00B41A86">
        <w:rPr>
          <w:rFonts w:ascii="Times New Roman" w:eastAsia="Times New Roman" w:hAnsi="Times New Roman" w:cs="Times New Roman"/>
          <w:sz w:val="24"/>
          <w:szCs w:val="24"/>
        </w:rPr>
        <w:t xml:space="preserve"> is mediated by perceived tangible manufacturing resource usage. Specifically, </w:t>
      </w:r>
      <w:r w:rsidR="007B3AD8">
        <w:rPr>
          <w:rFonts w:ascii="Times New Roman" w:eastAsia="Times New Roman" w:hAnsi="Times New Roman" w:cs="Times New Roman"/>
          <w:sz w:val="24"/>
          <w:szCs w:val="24"/>
        </w:rPr>
        <w:t xml:space="preserve">more visually </w:t>
      </w:r>
      <w:r w:rsidR="00B41A86">
        <w:rPr>
          <w:rFonts w:ascii="Times New Roman" w:eastAsia="Times New Roman" w:hAnsi="Times New Roman" w:cs="Times New Roman"/>
          <w:sz w:val="24"/>
          <w:szCs w:val="24"/>
        </w:rPr>
        <w:t xml:space="preserve">complex </w:t>
      </w:r>
      <w:r w:rsidR="007B3AD8">
        <w:rPr>
          <w:rFonts w:ascii="Times New Roman" w:eastAsia="Times New Roman" w:hAnsi="Times New Roman" w:cs="Times New Roman"/>
          <w:sz w:val="24"/>
          <w:szCs w:val="24"/>
        </w:rPr>
        <w:t xml:space="preserve">packaging increases perceived </w:t>
      </w:r>
      <w:r w:rsidR="00B41A86">
        <w:rPr>
          <w:rFonts w:ascii="Times New Roman" w:eastAsia="Times New Roman" w:hAnsi="Times New Roman" w:cs="Times New Roman"/>
          <w:sz w:val="24"/>
          <w:szCs w:val="24"/>
        </w:rPr>
        <w:t>resource</w:t>
      </w:r>
      <w:r w:rsidR="007B3AD8">
        <w:rPr>
          <w:rFonts w:ascii="Times New Roman" w:eastAsia="Times New Roman" w:hAnsi="Times New Roman" w:cs="Times New Roman"/>
          <w:sz w:val="24"/>
          <w:szCs w:val="24"/>
        </w:rPr>
        <w:t xml:space="preserve"> u</w:t>
      </w:r>
      <w:r w:rsidR="00B41A86">
        <w:rPr>
          <w:rFonts w:ascii="Times New Roman" w:eastAsia="Times New Roman" w:hAnsi="Times New Roman" w:cs="Times New Roman"/>
          <w:sz w:val="24"/>
          <w:szCs w:val="24"/>
        </w:rPr>
        <w:t>s</w:t>
      </w:r>
      <w:r w:rsidR="007B3AD8">
        <w:rPr>
          <w:rFonts w:ascii="Times New Roman" w:eastAsia="Times New Roman" w:hAnsi="Times New Roman" w:cs="Times New Roman"/>
          <w:sz w:val="24"/>
          <w:szCs w:val="24"/>
        </w:rPr>
        <w:t>e</w:t>
      </w:r>
      <w:r w:rsidR="00B41A86">
        <w:rPr>
          <w:rFonts w:ascii="Times New Roman" w:eastAsia="Times New Roman" w:hAnsi="Times New Roman" w:cs="Times New Roman"/>
          <w:sz w:val="24"/>
          <w:szCs w:val="24"/>
        </w:rPr>
        <w:t xml:space="preserve">, which </w:t>
      </w:r>
      <w:r w:rsidR="007B3AD8">
        <w:rPr>
          <w:rFonts w:ascii="Times New Roman" w:eastAsia="Times New Roman" w:hAnsi="Times New Roman" w:cs="Times New Roman"/>
          <w:sz w:val="24"/>
          <w:szCs w:val="24"/>
        </w:rPr>
        <w:t xml:space="preserve">in turn </w:t>
      </w:r>
      <w:r w:rsidR="00B41A86">
        <w:rPr>
          <w:rFonts w:ascii="Times New Roman" w:eastAsia="Times New Roman" w:hAnsi="Times New Roman" w:cs="Times New Roman"/>
          <w:sz w:val="24"/>
          <w:szCs w:val="24"/>
        </w:rPr>
        <w:t xml:space="preserve">enhances perceived efficacy </w:t>
      </w:r>
      <w:r w:rsidR="007B3AD8">
        <w:rPr>
          <w:rFonts w:ascii="Times New Roman" w:eastAsia="Times New Roman" w:hAnsi="Times New Roman" w:cs="Times New Roman"/>
          <w:sz w:val="24"/>
          <w:szCs w:val="24"/>
        </w:rPr>
        <w:t xml:space="preserve">and diminishes </w:t>
      </w:r>
      <w:r w:rsidR="00B41A86">
        <w:rPr>
          <w:rFonts w:ascii="Times New Roman" w:eastAsia="Times New Roman" w:hAnsi="Times New Roman" w:cs="Times New Roman"/>
          <w:sz w:val="24"/>
          <w:szCs w:val="24"/>
        </w:rPr>
        <w:t xml:space="preserve">perceived eco-friendliness. </w:t>
      </w:r>
    </w:p>
    <w:p w14:paraId="621B82B3" w14:textId="77777777" w:rsidR="00391B4B" w:rsidRDefault="00391B4B">
      <w:pPr>
        <w:spacing w:after="0" w:line="480" w:lineRule="auto"/>
        <w:ind w:firstLine="720"/>
        <w:rPr>
          <w:rFonts w:ascii="Times New Roman" w:eastAsia="Times New Roman" w:hAnsi="Times New Roman" w:cs="Times New Roman"/>
          <w:sz w:val="24"/>
          <w:szCs w:val="24"/>
        </w:rPr>
      </w:pPr>
    </w:p>
    <w:p w14:paraId="5471E67E" w14:textId="139D628E"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Consistent with our </w:t>
      </w:r>
      <w:r w:rsidR="00A55D42">
        <w:rPr>
          <w:rFonts w:ascii="Times New Roman" w:eastAsia="Times New Roman" w:hAnsi="Times New Roman" w:cs="Times New Roman"/>
          <w:sz w:val="24"/>
          <w:szCs w:val="24"/>
        </w:rPr>
        <w:t xml:space="preserve">account </w:t>
      </w:r>
      <w:r>
        <w:rPr>
          <w:rFonts w:ascii="Times New Roman" w:eastAsia="Times New Roman" w:hAnsi="Times New Roman" w:cs="Times New Roman"/>
          <w:sz w:val="24"/>
          <w:szCs w:val="24"/>
        </w:rPr>
        <w:t xml:space="preserve">of lay theories, we propose that </w:t>
      </w:r>
      <w:r w:rsidR="007B3AD8">
        <w:rPr>
          <w:rFonts w:ascii="Times New Roman" w:eastAsia="Times New Roman" w:hAnsi="Times New Roman" w:cs="Times New Roman"/>
          <w:sz w:val="24"/>
          <w:szCs w:val="24"/>
        </w:rPr>
        <w:t xml:space="preserve">these effects </w:t>
      </w:r>
      <w:r w:rsidR="00A55D42">
        <w:rPr>
          <w:rFonts w:ascii="Times New Roman" w:eastAsia="Times New Roman" w:hAnsi="Times New Roman" w:cs="Times New Roman"/>
          <w:sz w:val="24"/>
          <w:szCs w:val="24"/>
        </w:rPr>
        <w:t xml:space="preserve">emerge </w:t>
      </w:r>
      <w:r>
        <w:rPr>
          <w:rFonts w:ascii="Times New Roman" w:eastAsia="Times New Roman" w:hAnsi="Times New Roman" w:cs="Times New Roman"/>
          <w:sz w:val="24"/>
          <w:szCs w:val="24"/>
        </w:rPr>
        <w:t xml:space="preserve">when a lay theory linking </w:t>
      </w:r>
      <w:r w:rsidR="00A55D42">
        <w:rPr>
          <w:rFonts w:ascii="Times New Roman" w:eastAsia="Times New Roman" w:hAnsi="Times New Roman" w:cs="Times New Roman"/>
          <w:sz w:val="24"/>
          <w:szCs w:val="24"/>
        </w:rPr>
        <w:t>visual complexity and manufacturing resources</w:t>
      </w:r>
      <w:r>
        <w:rPr>
          <w:rFonts w:ascii="Times New Roman" w:eastAsia="Times New Roman" w:hAnsi="Times New Roman" w:cs="Times New Roman"/>
          <w:sz w:val="24"/>
          <w:szCs w:val="24"/>
        </w:rPr>
        <w:t xml:space="preserve"> is accessible. Although we expect this lay theory to be common, the effect</w:t>
      </w:r>
      <w:r w:rsidR="00A55D4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should attenuate when </w:t>
      </w:r>
      <w:r w:rsidR="00A55D42">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is not accessible:</w:t>
      </w:r>
    </w:p>
    <w:p w14:paraId="30A444F8" w14:textId="77777777" w:rsidR="00391B4B" w:rsidRDefault="006E2B95">
      <w:pPr>
        <w:spacing w:after="0"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F6A5BA" w14:textId="77777777" w:rsidR="00391B4B" w:rsidRDefault="006E2B95">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H3:</w:t>
      </w:r>
      <w:r>
        <w:rPr>
          <w:rFonts w:ascii="Times New Roman" w:eastAsia="Times New Roman" w:hAnsi="Times New Roman" w:cs="Times New Roman"/>
          <w:sz w:val="24"/>
          <w:szCs w:val="24"/>
        </w:rPr>
        <w:t xml:space="preserve"> The effect of visual complexity on perceived efficacy and eco-friendliness is moderated by individual differences in the strength of the lay theory connecting design complexity with manufacturing resource usage.</w:t>
      </w:r>
    </w:p>
    <w:p w14:paraId="19409CED" w14:textId="77777777" w:rsidR="00391B4B" w:rsidRDefault="00391B4B">
      <w:pPr>
        <w:spacing w:after="0" w:line="480" w:lineRule="auto"/>
        <w:ind w:firstLine="720"/>
        <w:rPr>
          <w:rFonts w:ascii="Times New Roman" w:eastAsia="Times New Roman" w:hAnsi="Times New Roman" w:cs="Times New Roman"/>
          <w:sz w:val="24"/>
          <w:szCs w:val="24"/>
        </w:rPr>
      </w:pPr>
    </w:p>
    <w:p w14:paraId="5ED0E718" w14:textId="77777777" w:rsidR="00391B4B" w:rsidRDefault="006E2B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F3E6A00" w14:textId="77777777" w:rsidR="00391B4B" w:rsidRDefault="006E2B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Insert figure 1 about here</w:t>
      </w:r>
    </w:p>
    <w:p w14:paraId="68753327" w14:textId="77777777" w:rsidR="00391B4B" w:rsidRDefault="006E2B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3383F00" w14:textId="77777777" w:rsidR="00391B4B" w:rsidRDefault="00391B4B">
      <w:pPr>
        <w:spacing w:after="0" w:line="480" w:lineRule="auto"/>
        <w:ind w:firstLine="720"/>
        <w:rPr>
          <w:rFonts w:ascii="Times New Roman" w:eastAsia="Times New Roman" w:hAnsi="Times New Roman" w:cs="Times New Roman"/>
          <w:sz w:val="24"/>
          <w:szCs w:val="24"/>
        </w:rPr>
      </w:pPr>
    </w:p>
    <w:p w14:paraId="4FD5C90D"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conceptualization builds on and extends a growing literature on visual complexity (see Table 1 for a summary). Whereas recent work has largely suggested that “simpler-is-better”, demonstrating that visually simple designs tend to be preferred because they are perceived as purer (Ton et al. 2024), more eco-friendly (Wang et al. 2024), and more authentic (Wang et al. 2023), our work contributes by highlighting the important moderating roles of salient evaluation </w:t>
      </w:r>
      <w:r>
        <w:rPr>
          <w:rFonts w:ascii="Times New Roman" w:eastAsia="Times New Roman" w:hAnsi="Times New Roman" w:cs="Times New Roman"/>
          <w:sz w:val="24"/>
          <w:szCs w:val="24"/>
        </w:rPr>
        <w:lastRenderedPageBreak/>
        <w:t xml:space="preserve">criteria and lay theories. Rather than treating design complexity as having a universal main effect, we argue that its influence depends on the consumer’s salient evaluation criterion: complexity can be a positive signal of efficacy as well as a negative signal of eco-friendliness, depending on what evaluation criterion is used. This reframes the question from whether design complexity is good or bad to when and why it is helpful. We also show that these effects hinge on consumers’ lay theories and the extent to which they intuit a link between visual complexity and manufacturing resources. </w:t>
      </w:r>
    </w:p>
    <w:p w14:paraId="578EE0B2" w14:textId="77777777" w:rsidR="00391B4B" w:rsidRDefault="00391B4B">
      <w:pPr>
        <w:widowControl w:val="0"/>
        <w:spacing w:after="0" w:line="240" w:lineRule="auto"/>
        <w:rPr>
          <w:rFonts w:ascii="Times New Roman" w:eastAsia="Times New Roman" w:hAnsi="Times New Roman" w:cs="Times New Roman"/>
          <w:sz w:val="24"/>
          <w:szCs w:val="24"/>
        </w:rPr>
      </w:pPr>
    </w:p>
    <w:p w14:paraId="1F4EF8DD" w14:textId="77777777" w:rsidR="00391B4B" w:rsidRDefault="006E2B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3ADF4DA" w14:textId="77777777" w:rsidR="00391B4B" w:rsidRDefault="006E2B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Insert table 1 about here</w:t>
      </w:r>
    </w:p>
    <w:p w14:paraId="33971C5F" w14:textId="77777777" w:rsidR="00391B4B" w:rsidRDefault="006E2B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72845CC" w14:textId="77777777" w:rsidR="00391B4B" w:rsidRDefault="00391B4B">
      <w:pPr>
        <w:spacing w:before="240" w:after="0" w:line="480" w:lineRule="auto"/>
        <w:ind w:firstLine="720"/>
        <w:rPr>
          <w:rFonts w:ascii="Times New Roman" w:eastAsia="Times New Roman" w:hAnsi="Times New Roman" w:cs="Times New Roman"/>
          <w:sz w:val="24"/>
          <w:szCs w:val="24"/>
        </w:rPr>
      </w:pPr>
    </w:p>
    <w:p w14:paraId="6F0A826A"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test our propositions in seven experiments (see appendix A for summary of studies), of which six were preregistered, and two replications (web appendices D and F). In Study 1, we test whether consumers’ chronic evaluation criteria influence their preference for products of varying visual complexity, using actual product choices. In Study 2, we extend the findings using a choice task across four different product categories beyond food and manipulating evaluation criterion salience (efficacy vs. eco-friendliness). In Studies 3a and 3b, we test the proposed mechanism, demonstrating that visual complexity (vs. simplicity) increases (vs. decreases) perceptions of tangible production resources and enhances perceived efficacy (vs. eco-friendliness), which influences purchase intentions when there is an alignment between design and salient evaluation criterion. In addition, Study 3 rules out alternative explanations. </w:t>
      </w:r>
    </w:p>
    <w:p w14:paraId="013A1E83"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Studies 4a and 4b, we test the moderating role of lay theories regarding the relationship between manufacturing resources and efficacy (Study 4a) and eco-friendliness (Study 4b). Finally, in Study 5, we generalize the main effect to an advertising context, showing </w:t>
      </w:r>
      <w:r>
        <w:rPr>
          <w:rFonts w:ascii="Times New Roman" w:eastAsia="Times New Roman" w:hAnsi="Times New Roman" w:cs="Times New Roman"/>
          <w:sz w:val="24"/>
          <w:szCs w:val="24"/>
        </w:rPr>
        <w:lastRenderedPageBreak/>
        <w:t>that consumers judge complex (vs. simple) ad designs as more appropriate when evaluating efficacy (vs. eco-friendliness). In all studies, we followed best practices, including recruiting participants with outstanding participation history and using an attention check prior to random assignment. We report additional attention checks and/or screenings, if any, in the text and additional details for the studies in the web appendix. Additional study materials and data can be found on the Open Science Framework (</w:t>
      </w:r>
      <w:hyperlink r:id="rId11">
        <w:r>
          <w:rPr>
            <w:rFonts w:ascii="Times New Roman" w:eastAsia="Times New Roman" w:hAnsi="Times New Roman" w:cs="Times New Roman"/>
            <w:color w:val="0563C1"/>
            <w:sz w:val="24"/>
            <w:szCs w:val="24"/>
            <w:u w:val="single"/>
          </w:rPr>
          <w:t>https://osf.io/h6mk7/?view_only=52d694ee66754a8690ceb221d646052f</w:t>
        </w:r>
      </w:hyperlink>
      <w:r>
        <w:rPr>
          <w:rFonts w:ascii="Times New Roman" w:eastAsia="Times New Roman" w:hAnsi="Times New Roman" w:cs="Times New Roman"/>
          <w:sz w:val="24"/>
          <w:szCs w:val="24"/>
        </w:rPr>
        <w:t>).</w:t>
      </w:r>
    </w:p>
    <w:p w14:paraId="2DB140C3" w14:textId="77777777" w:rsidR="00391B4B" w:rsidRDefault="00391B4B">
      <w:pPr>
        <w:spacing w:after="0" w:line="480" w:lineRule="auto"/>
        <w:ind w:firstLine="720"/>
        <w:rPr>
          <w:rFonts w:ascii="Times New Roman" w:eastAsia="Times New Roman" w:hAnsi="Times New Roman" w:cs="Times New Roman"/>
          <w:sz w:val="24"/>
          <w:szCs w:val="24"/>
        </w:rPr>
      </w:pPr>
    </w:p>
    <w:p w14:paraId="322DF56A" w14:textId="77777777" w:rsidR="00391B4B" w:rsidRDefault="006E2B95">
      <w:pPr>
        <w:spacing w:after="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Study 1: Personal evaluation criteria and preference for visual complexity</w:t>
      </w:r>
    </w:p>
    <w:p w14:paraId="282CB67E" w14:textId="77777777" w:rsidR="00391B4B" w:rsidRDefault="00391B4B">
      <w:pPr>
        <w:spacing w:after="0" w:line="480" w:lineRule="auto"/>
        <w:jc w:val="center"/>
        <w:rPr>
          <w:rFonts w:ascii="Times New Roman" w:eastAsia="Times New Roman" w:hAnsi="Times New Roman" w:cs="Times New Roman"/>
          <w:b/>
          <w:sz w:val="24"/>
          <w:szCs w:val="24"/>
        </w:rPr>
      </w:pPr>
    </w:p>
    <w:p w14:paraId="5661CCD6" w14:textId="17DAA972" w:rsidR="00391B4B" w:rsidRDefault="006E2B95">
      <w:pPr>
        <w:spacing w:after="0" w:line="480" w:lineRule="auto"/>
        <w:ind w:firstLine="720"/>
        <w:rPr>
          <w:rFonts w:ascii="Times New Roman" w:eastAsia="Times New Roman" w:hAnsi="Times New Roman" w:cs="Times New Roman"/>
          <w:sz w:val="24"/>
          <w:szCs w:val="24"/>
        </w:rPr>
      </w:pPr>
      <w:bookmarkStart w:id="3" w:name="_1hcebmtazs3j" w:colFirst="0" w:colLast="0"/>
      <w:bookmarkEnd w:id="3"/>
      <w:r>
        <w:rPr>
          <w:rFonts w:ascii="Times New Roman" w:eastAsia="Times New Roman" w:hAnsi="Times New Roman" w:cs="Times New Roman"/>
          <w:sz w:val="24"/>
          <w:szCs w:val="24"/>
        </w:rPr>
        <w:t xml:space="preserve">Study 1 tests </w:t>
      </w:r>
      <w:r w:rsidR="00731889">
        <w:rPr>
          <w:rFonts w:ascii="Times New Roman" w:eastAsia="Times New Roman" w:hAnsi="Times New Roman" w:cs="Times New Roman"/>
          <w:sz w:val="24"/>
          <w:szCs w:val="24"/>
        </w:rPr>
        <w:t>H1</w:t>
      </w:r>
      <w:r>
        <w:rPr>
          <w:rFonts w:ascii="Times New Roman" w:eastAsia="Times New Roman" w:hAnsi="Times New Roman" w:cs="Times New Roman"/>
          <w:sz w:val="24"/>
          <w:szCs w:val="24"/>
        </w:rPr>
        <w:t xml:space="preserve"> using a correlational design with real choice. We predicted that the more participants prioritized an efficacy (vs. eco-friendliness) evaluation criterion when shopping for soap, the more likely they would be to choose a visually complex (vs. simple) product.</w:t>
      </w:r>
    </w:p>
    <w:p w14:paraId="00FC13C3" w14:textId="77777777" w:rsidR="00391B4B" w:rsidRDefault="00391B4B">
      <w:pPr>
        <w:spacing w:after="0" w:line="480" w:lineRule="auto"/>
        <w:rPr>
          <w:rFonts w:ascii="Times New Roman" w:eastAsia="Times New Roman" w:hAnsi="Times New Roman" w:cs="Times New Roman"/>
          <w:b/>
          <w:sz w:val="24"/>
          <w:szCs w:val="24"/>
        </w:rPr>
      </w:pPr>
    </w:p>
    <w:p w14:paraId="618ECBD2"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3E2E2908" w14:textId="77777777" w:rsidR="00391B4B" w:rsidRDefault="00391B4B">
      <w:pPr>
        <w:spacing w:after="0" w:line="480" w:lineRule="auto"/>
        <w:rPr>
          <w:rFonts w:ascii="Times New Roman" w:eastAsia="Times New Roman" w:hAnsi="Times New Roman" w:cs="Times New Roman"/>
          <w:b/>
          <w:sz w:val="24"/>
          <w:szCs w:val="24"/>
        </w:rPr>
      </w:pPr>
    </w:p>
    <w:p w14:paraId="0BE8F2DF" w14:textId="77777777" w:rsidR="00391B4B" w:rsidRDefault="006E2B95">
      <w:pPr>
        <w:spacing w:after="0" w:line="480" w:lineRule="auto"/>
        <w:rPr>
          <w:rFonts w:ascii="Times New Roman" w:eastAsia="Times New Roman" w:hAnsi="Times New Roman" w:cs="Times New Roman"/>
          <w:sz w:val="24"/>
          <w:szCs w:val="24"/>
        </w:rPr>
      </w:pPr>
      <w:bookmarkStart w:id="4" w:name="_a6cvpkt07l41" w:colFirst="0" w:colLast="0"/>
      <w:bookmarkEnd w:id="4"/>
      <w:r>
        <w:rPr>
          <w:rFonts w:ascii="Times New Roman" w:eastAsia="Times New Roman" w:hAnsi="Times New Roman" w:cs="Times New Roman"/>
          <w:b/>
          <w:sz w:val="24"/>
          <w:szCs w:val="24"/>
        </w:rPr>
        <w:t>Participants and design</w:t>
      </w:r>
      <w:r>
        <w:rPr>
          <w:rFonts w:ascii="Times New Roman" w:eastAsia="Times New Roman" w:hAnsi="Times New Roman" w:cs="Times New Roman"/>
          <w:sz w:val="24"/>
          <w:szCs w:val="24"/>
        </w:rPr>
        <w:t xml:space="preserve"> 260 undergraduate students (59.2% female,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age</w:t>
      </w:r>
      <w:r>
        <w:rPr>
          <w:rFonts w:ascii="Times New Roman" w:eastAsia="Times New Roman" w:hAnsi="Times New Roman" w:cs="Times New Roman"/>
          <w:sz w:val="24"/>
          <w:szCs w:val="24"/>
        </w:rPr>
        <w:t xml:space="preserve"> = 19.92) from a large American university completed the study in exchange for course credit as a part of a 45-minute lab session that included several unrelated studies.</w:t>
      </w:r>
    </w:p>
    <w:p w14:paraId="02BA1C1F" w14:textId="77777777" w:rsidR="00391B4B" w:rsidRDefault="00391B4B">
      <w:pPr>
        <w:spacing w:after="0" w:line="480" w:lineRule="auto"/>
        <w:ind w:firstLine="720"/>
        <w:rPr>
          <w:rFonts w:ascii="Times New Roman" w:eastAsia="Times New Roman" w:hAnsi="Times New Roman" w:cs="Times New Roman"/>
          <w:i/>
          <w:sz w:val="24"/>
          <w:szCs w:val="24"/>
        </w:rPr>
      </w:pPr>
    </w:p>
    <w:p w14:paraId="38D59333"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Procedure</w:t>
      </w:r>
      <w:r>
        <w:rPr>
          <w:rFonts w:ascii="Times New Roman" w:eastAsia="Times New Roman" w:hAnsi="Times New Roman" w:cs="Times New Roman"/>
          <w:sz w:val="24"/>
          <w:szCs w:val="24"/>
        </w:rPr>
        <w:t xml:space="preserve"> The first study in the lab session was allegedly a collaboration with a brand developing a new soap product. We showed participants two bar soaps in their respective boxes – a visually complex and a simple one – which we created especially for this session. We </w:t>
      </w:r>
      <w:r>
        <w:rPr>
          <w:rFonts w:ascii="Times New Roman" w:eastAsia="Times New Roman" w:hAnsi="Times New Roman" w:cs="Times New Roman"/>
          <w:sz w:val="24"/>
          <w:szCs w:val="24"/>
        </w:rPr>
        <w:lastRenderedPageBreak/>
        <w:t xml:space="preserve">operationalized visual complexity and simplicity via the amount of distinguishable visual elements present in the product packages. The visually simple package design consisted of a plain white box with the inscription “Aloe Facial Soap” in green font. The visually complex soap had, in addition, green edges and an abstract pattern of gray circles (appendix B). </w:t>
      </w:r>
    </w:p>
    <w:p w14:paraId="747CDF5F"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developed the stimuli with three main concerns: (1) realism, (2) minimal use of informative design, and (3) ensuring that the visual complexity was appropriately varied without introducing confounding variables. First, the packages were designed to mimic designs participants would see in stores. Second, we designed these boxes to avoid any informational differences between the two products, such as floral or other figurative patterns that might suggest specific product properties (e.g., green leaves could non-subtly suggest eco-friendliness, and bubbles could suggest cleansing properties, which is related to soap efficacy).  Instead, we used the abstract pattern of circles. Further, to make it a conservative test, we used the green color in the ‘complex’ condition, which we hypothesized would be inferred to be more effective, rather than more eco-friendly. Finally, we designed the package in a way that primarily varied in visual complexity, rather than other visual dimensions, such as symmetry. A pretest confirmed the visually complex soap was perceived as more complex than the visually simple soap (web appendix B). </w:t>
      </w:r>
    </w:p>
    <w:p w14:paraId="75923A2B"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told participants they would receive their chosen soap at the end of the experimental session, thereby making this a realistic and consequential choice. After indicating their choice, participants provided demographics and continued with the unrelated studies in the session.</w:t>
      </w:r>
    </w:p>
    <w:p w14:paraId="05CE6ACD" w14:textId="77777777" w:rsidR="00391B4B" w:rsidRDefault="006E2B95">
      <w:pPr>
        <w:spacing w:after="0" w:line="480" w:lineRule="auto"/>
        <w:ind w:firstLine="720"/>
        <w:rPr>
          <w:rFonts w:ascii="Times New Roman" w:eastAsia="Times New Roman" w:hAnsi="Times New Roman" w:cs="Times New Roman"/>
          <w:sz w:val="24"/>
          <w:szCs w:val="24"/>
        </w:rPr>
      </w:pPr>
      <w:bookmarkStart w:id="5" w:name="_mb935yrhu9i3" w:colFirst="0" w:colLast="0"/>
      <w:bookmarkEnd w:id="5"/>
      <w:r>
        <w:rPr>
          <w:rFonts w:ascii="Times New Roman" w:eastAsia="Times New Roman" w:hAnsi="Times New Roman" w:cs="Times New Roman"/>
          <w:sz w:val="24"/>
          <w:szCs w:val="24"/>
        </w:rPr>
        <w:t xml:space="preserve">At the end of the 45-minute lab session, which included several unrelated studies by other researchers, we measured whether participants saw product efficacy or eco-friendliness as more important to them personally. We told them, “When people make purchases, they usually choose </w:t>
      </w:r>
      <w:r>
        <w:rPr>
          <w:rFonts w:ascii="Times New Roman" w:eastAsia="Times New Roman" w:hAnsi="Times New Roman" w:cs="Times New Roman"/>
          <w:sz w:val="24"/>
          <w:szCs w:val="24"/>
        </w:rPr>
        <w:lastRenderedPageBreak/>
        <w:t>based on what they consider to be important. Please indicate what you consider to be the most important benefits when you are purchasing soaps in general from the options below.” (1 = “having natural ingredients” to 7 = “cleansing the skin,” 1 = “being organic” to 7 = “removing oil and dirt,” and 1 = “eco-friendly ingredients” to 7 = “effective ingredients,” web appendix C). We combined these measures to form an evaluation criterion index where lower scores indicate a greater relative focus on eco-friendliness and higher scores indicate a greater relative focus on efficacy (</w:t>
      </w: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 xml:space="preserve"> = .81). Finally, participants picked up a sample of their chosen soap and left the lab.</w:t>
      </w:r>
    </w:p>
    <w:p w14:paraId="5AE3F298" w14:textId="77777777" w:rsidR="00391B4B" w:rsidRDefault="00391B4B">
      <w:pPr>
        <w:spacing w:after="0" w:line="480" w:lineRule="auto"/>
        <w:rPr>
          <w:rFonts w:ascii="Times New Roman" w:eastAsia="Times New Roman" w:hAnsi="Times New Roman" w:cs="Times New Roman"/>
          <w:b/>
          <w:sz w:val="24"/>
          <w:szCs w:val="24"/>
        </w:rPr>
      </w:pPr>
    </w:p>
    <w:p w14:paraId="75DE8CEE"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75D16CE3" w14:textId="77777777" w:rsidR="00391B4B" w:rsidRDefault="00391B4B">
      <w:pPr>
        <w:spacing w:after="0" w:line="480" w:lineRule="auto"/>
        <w:rPr>
          <w:rFonts w:ascii="Times New Roman" w:eastAsia="Times New Roman" w:hAnsi="Times New Roman" w:cs="Times New Roman"/>
          <w:b/>
          <w:sz w:val="24"/>
          <w:szCs w:val="24"/>
        </w:rPr>
      </w:pPr>
    </w:p>
    <w:p w14:paraId="7E4B25FD"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36.9% of participants chose the soap with the simple design and 63.1% with the complex design. To test our prediction, we conducted a binary logistic regression, regressing soap choice (0 = simple, 1 = complex) on the mean-centered index of personal evaluation criterion. The analysis revealed a significant effect of evaluation criterion (B = .211, </w:t>
      </w:r>
      <w:r>
        <w:rPr>
          <w:rFonts w:ascii="Times New Roman" w:eastAsia="Times New Roman" w:hAnsi="Times New Roman" w:cs="Times New Roman"/>
          <w:i/>
          <w:sz w:val="24"/>
          <w:szCs w:val="24"/>
        </w:rPr>
        <w:t>Wald</w:t>
      </w:r>
      <w:r>
        <w:rPr>
          <w:rFonts w:ascii="Times New Roman" w:eastAsia="Times New Roman" w:hAnsi="Times New Roman" w:cs="Times New Roman"/>
          <w:sz w:val="24"/>
          <w:szCs w:val="24"/>
        </w:rPr>
        <w:t xml:space="preserve"> χ</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(1) = 4.75,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.029), indicating that as a participant’s focus on efficacy (rather than eco-friendliness) increased, so did their likelihood of choosing the visually complex soap. </w:t>
      </w:r>
    </w:p>
    <w:p w14:paraId="23FD5FE9" w14:textId="77777777" w:rsidR="00E62041" w:rsidRDefault="00E62041">
      <w:pPr>
        <w:spacing w:after="0" w:line="480" w:lineRule="auto"/>
        <w:rPr>
          <w:rFonts w:ascii="Times New Roman" w:hAnsi="Times New Roman" w:cs="Times New Roman"/>
          <w:b/>
          <w:sz w:val="24"/>
          <w:szCs w:val="24"/>
        </w:rPr>
      </w:pPr>
    </w:p>
    <w:p w14:paraId="4A553101"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4145D884" w14:textId="77777777" w:rsidR="00391B4B" w:rsidRDefault="00391B4B">
      <w:pPr>
        <w:spacing w:after="0" w:line="480" w:lineRule="auto"/>
        <w:rPr>
          <w:rFonts w:ascii="Times New Roman" w:eastAsia="Times New Roman" w:hAnsi="Times New Roman" w:cs="Times New Roman"/>
          <w:b/>
          <w:sz w:val="24"/>
          <w:szCs w:val="24"/>
        </w:rPr>
      </w:pPr>
    </w:p>
    <w:p w14:paraId="2F902209" w14:textId="2240E8B3"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realistic and consequential correlational design, Study 1 provides preliminary support for our conceptualization. It shows that people are more likely to choose a visually complex (simple) option when an efficacy (eco-friendliness) evaluation criterion is </w:t>
      </w:r>
      <w:r w:rsidR="00731889">
        <w:rPr>
          <w:rFonts w:ascii="Times New Roman" w:eastAsia="Times New Roman" w:hAnsi="Times New Roman" w:cs="Times New Roman"/>
          <w:sz w:val="24"/>
          <w:szCs w:val="24"/>
        </w:rPr>
        <w:t xml:space="preserve">inherently </w:t>
      </w:r>
      <w:r>
        <w:rPr>
          <w:rFonts w:ascii="Times New Roman" w:eastAsia="Times New Roman" w:hAnsi="Times New Roman" w:cs="Times New Roman"/>
          <w:sz w:val="24"/>
          <w:szCs w:val="24"/>
        </w:rPr>
        <w:t xml:space="preserve">more salient to them. </w:t>
      </w:r>
      <w:r w:rsidR="00731889" w:rsidRPr="00731889">
        <w:rPr>
          <w:rFonts w:ascii="Times New Roman" w:eastAsia="Times New Roman" w:hAnsi="Times New Roman" w:cs="Times New Roman"/>
          <w:sz w:val="24"/>
          <w:szCs w:val="24"/>
        </w:rPr>
        <w:t xml:space="preserve">Although correlational designs limit causal inference, </w:t>
      </w:r>
      <w:r w:rsidR="00AE2FC3">
        <w:rPr>
          <w:rFonts w:ascii="Times New Roman" w:eastAsia="Times New Roman" w:hAnsi="Times New Roman" w:cs="Times New Roman"/>
          <w:sz w:val="24"/>
          <w:szCs w:val="24"/>
        </w:rPr>
        <w:t>they have</w:t>
      </w:r>
      <w:r w:rsidR="00731889" w:rsidRPr="00731889">
        <w:rPr>
          <w:rFonts w:ascii="Times New Roman" w:eastAsia="Times New Roman" w:hAnsi="Times New Roman" w:cs="Times New Roman"/>
          <w:sz w:val="24"/>
          <w:szCs w:val="24"/>
        </w:rPr>
        <w:t xml:space="preserve"> the </w:t>
      </w:r>
      <w:r w:rsidR="00731889" w:rsidRPr="00731889">
        <w:rPr>
          <w:rFonts w:ascii="Times New Roman" w:eastAsia="Times New Roman" w:hAnsi="Times New Roman" w:cs="Times New Roman"/>
          <w:sz w:val="24"/>
          <w:szCs w:val="24"/>
        </w:rPr>
        <w:lastRenderedPageBreak/>
        <w:t>advantage of demonstrating the predicted pattern without artificially inducing evaluation criteria. </w:t>
      </w:r>
      <w:r w:rsidR="00731889">
        <w:rPr>
          <w:rFonts w:ascii="Times New Roman" w:eastAsia="Times New Roman" w:hAnsi="Times New Roman" w:cs="Times New Roman"/>
          <w:sz w:val="24"/>
          <w:szCs w:val="24"/>
        </w:rPr>
        <w:t>The subsequent studies build on</w:t>
      </w:r>
      <w:r>
        <w:rPr>
          <w:rFonts w:ascii="Times New Roman" w:eastAsia="Times New Roman" w:hAnsi="Times New Roman" w:cs="Times New Roman"/>
          <w:sz w:val="24"/>
          <w:szCs w:val="24"/>
        </w:rPr>
        <w:t xml:space="preserve"> this</w:t>
      </w:r>
      <w:r w:rsidR="00731889">
        <w:rPr>
          <w:rFonts w:ascii="Times New Roman" w:eastAsia="Times New Roman" w:hAnsi="Times New Roman" w:cs="Times New Roman"/>
          <w:sz w:val="24"/>
          <w:szCs w:val="24"/>
        </w:rPr>
        <w:t xml:space="preserve"> finding</w:t>
      </w:r>
      <w:r>
        <w:rPr>
          <w:rFonts w:ascii="Times New Roman" w:eastAsia="Times New Roman" w:hAnsi="Times New Roman" w:cs="Times New Roman"/>
          <w:sz w:val="24"/>
          <w:szCs w:val="24"/>
        </w:rPr>
        <w:t xml:space="preserve"> by testing our causal predictions in experimental setting</w:t>
      </w:r>
      <w:r w:rsidR="0073188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p>
    <w:p w14:paraId="47768431" w14:textId="77777777" w:rsidR="00391B4B" w:rsidRDefault="00391B4B">
      <w:pPr>
        <w:spacing w:after="0" w:line="480" w:lineRule="auto"/>
        <w:rPr>
          <w:rFonts w:ascii="Times New Roman" w:eastAsia="Times New Roman" w:hAnsi="Times New Roman" w:cs="Times New Roman"/>
          <w:sz w:val="24"/>
          <w:szCs w:val="24"/>
        </w:rPr>
      </w:pPr>
    </w:p>
    <w:p w14:paraId="28BA2C3C" w14:textId="77777777" w:rsidR="00391B4B" w:rsidRDefault="006E2B95">
      <w:pPr>
        <w:spacing w:after="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Study 2: Experimentally manipulating evaluation criteria</w:t>
      </w:r>
    </w:p>
    <w:p w14:paraId="093FCADF" w14:textId="77777777" w:rsidR="00391B4B" w:rsidRDefault="00391B4B">
      <w:pPr>
        <w:spacing w:after="0" w:line="480" w:lineRule="auto"/>
        <w:jc w:val="center"/>
        <w:rPr>
          <w:rFonts w:ascii="Times New Roman" w:eastAsia="Times New Roman" w:hAnsi="Times New Roman" w:cs="Times New Roman"/>
          <w:b/>
          <w:sz w:val="24"/>
          <w:szCs w:val="24"/>
        </w:rPr>
      </w:pPr>
    </w:p>
    <w:p w14:paraId="6F569504"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Study 2</w:t>
      </w:r>
      <w:r>
        <w:t xml:space="preserve"> </w:t>
      </w:r>
      <w:r>
        <w:rPr>
          <w:rFonts w:ascii="Times New Roman" w:eastAsia="Times New Roman" w:hAnsi="Times New Roman" w:cs="Times New Roman"/>
          <w:sz w:val="24"/>
          <w:szCs w:val="24"/>
        </w:rPr>
        <w:t xml:space="preserve">was designed to test, using an incentive-compatible experimental design, whether the salience of an efficacy (vs. eco-friendliness) evaluation criterion increases the preference for product options with a visually complex (vs. simple) package design (H1). To bolster the generalizability of the findings, we designed simple and complex versions of products in four categories (soap, energy drink, protein powder, paper towels). </w:t>
      </w:r>
    </w:p>
    <w:p w14:paraId="679FA9A5" w14:textId="77777777" w:rsidR="00391B4B" w:rsidRDefault="00391B4B">
      <w:pPr>
        <w:spacing w:after="0" w:line="480" w:lineRule="auto"/>
        <w:rPr>
          <w:rFonts w:ascii="Times New Roman" w:eastAsia="Times New Roman" w:hAnsi="Times New Roman" w:cs="Times New Roman"/>
          <w:b/>
          <w:sz w:val="24"/>
          <w:szCs w:val="24"/>
        </w:rPr>
      </w:pPr>
    </w:p>
    <w:p w14:paraId="733C0E0F"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61F43D99" w14:textId="77777777" w:rsidR="00391B4B" w:rsidRDefault="00391B4B">
      <w:pPr>
        <w:spacing w:after="0" w:line="480" w:lineRule="auto"/>
        <w:rPr>
          <w:rFonts w:ascii="Times New Roman" w:eastAsia="Times New Roman" w:hAnsi="Times New Roman" w:cs="Times New Roman"/>
          <w:b/>
          <w:sz w:val="24"/>
          <w:szCs w:val="24"/>
        </w:rPr>
      </w:pPr>
    </w:p>
    <w:p w14:paraId="71EC02DA" w14:textId="77777777" w:rsidR="00391B4B" w:rsidRDefault="006E2B95">
      <w:pPr>
        <w:spacing w:after="0" w:line="480" w:lineRule="auto"/>
        <w:rPr>
          <w:rFonts w:ascii="Times New Roman" w:eastAsia="Times New Roman" w:hAnsi="Times New Roman" w:cs="Times New Roman"/>
          <w:sz w:val="24"/>
          <w:szCs w:val="24"/>
        </w:rPr>
      </w:pPr>
      <w:bookmarkStart w:id="6" w:name="_8n4cvr1u3jb8" w:colFirst="0" w:colLast="0"/>
      <w:bookmarkEnd w:id="6"/>
      <w:r>
        <w:rPr>
          <w:rFonts w:ascii="Times New Roman" w:eastAsia="Times New Roman" w:hAnsi="Times New Roman" w:cs="Times New Roman"/>
          <w:b/>
          <w:sz w:val="24"/>
          <w:szCs w:val="24"/>
        </w:rPr>
        <w:t>Participants and design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Study 2 was preregistered (</w:t>
      </w:r>
      <w:hyperlink r:id="rId12">
        <w:r>
          <w:rPr>
            <w:rFonts w:ascii="Times New Roman" w:eastAsia="Times New Roman" w:hAnsi="Times New Roman" w:cs="Times New Roman"/>
            <w:color w:val="0563C1"/>
            <w:sz w:val="24"/>
            <w:szCs w:val="24"/>
            <w:u w:val="single"/>
          </w:rPr>
          <w:t>https://aspredicted.org/5qrt-mn8y.pdf</w:t>
        </w:r>
      </w:hyperlink>
      <w:r>
        <w:rPr>
          <w:rFonts w:ascii="Times New Roman" w:eastAsia="Times New Roman" w:hAnsi="Times New Roman" w:cs="Times New Roman"/>
          <w:sz w:val="24"/>
          <w:szCs w:val="24"/>
        </w:rPr>
        <w:t xml:space="preserve">). Based on a recruitment target of 200 and consistent with the preregistration, we collected 196 valid responses from U.S. Prolific participants (52.6% female,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age</w:t>
      </w:r>
      <w:r>
        <w:rPr>
          <w:rFonts w:ascii="Times New Roman" w:eastAsia="Times New Roman" w:hAnsi="Times New Roman" w:cs="Times New Roman"/>
          <w:sz w:val="24"/>
          <w:szCs w:val="24"/>
        </w:rPr>
        <w:t xml:space="preserve"> = 42.00) who passed our preregistered manipulation check and completed the entire study. Participants received a small monetary compensation. </w:t>
      </w:r>
    </w:p>
    <w:p w14:paraId="06365119"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had a 2 (evaluation criterion: efficacy vs. eco-friendliness) x 4 (product replicate: energy drink, soap, protein powders, paper towels) mixed design. Evaluation criterion was manipulated between-subjects, and product replicate was a within-subject factor. Each replicate was presented as a choice between a visually complex and a simple option.</w:t>
      </w:r>
    </w:p>
    <w:p w14:paraId="6CD1CEC5" w14:textId="77777777" w:rsidR="00391B4B" w:rsidRDefault="00391B4B">
      <w:pPr>
        <w:spacing w:after="0" w:line="480" w:lineRule="auto"/>
        <w:ind w:firstLine="720"/>
        <w:rPr>
          <w:rFonts w:ascii="Times New Roman" w:eastAsia="Times New Roman" w:hAnsi="Times New Roman" w:cs="Times New Roman"/>
          <w:i/>
          <w:sz w:val="24"/>
          <w:szCs w:val="24"/>
        </w:rPr>
      </w:pPr>
    </w:p>
    <w:p w14:paraId="47F65F97"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Procedure</w:t>
      </w:r>
      <w:r>
        <w:rPr>
          <w:rFonts w:ascii="Times New Roman" w:eastAsia="Times New Roman" w:hAnsi="Times New Roman" w:cs="Times New Roman"/>
          <w:sz w:val="24"/>
          <w:szCs w:val="24"/>
        </w:rPr>
        <w:t xml:space="preserve"> Participants made four consecutive choices, each between two options in a product category (energy drinks, soaps, protein powders, paper towels). Category order was randomized. Before each choice, we asked participants to focus on their assigned evaluation criterion (eco-friendliness or efficacy), which was held constant across the four replicates for each participant. In each choice, we told participants: “On the next page, you will see four paired images of products that are currently being developed. We want you to pick the one that you feel is likely to be the </w:t>
      </w:r>
      <w:proofErr w:type="gramStart"/>
      <w:r>
        <w:rPr>
          <w:rFonts w:ascii="Times New Roman" w:eastAsia="Times New Roman" w:hAnsi="Times New Roman" w:cs="Times New Roman"/>
          <w:sz w:val="24"/>
          <w:szCs w:val="24"/>
        </w:rPr>
        <w:t>more eco-friendly</w:t>
      </w:r>
      <w:proofErr w:type="gramEnd"/>
      <w:r>
        <w:rPr>
          <w:rFonts w:ascii="Times New Roman" w:eastAsia="Times New Roman" w:hAnsi="Times New Roman" w:cs="Times New Roman"/>
          <w:sz w:val="24"/>
          <w:szCs w:val="24"/>
        </w:rPr>
        <w:t xml:space="preserve"> [vs. effective, depending on the condition] of the two, in terms of how it is made.” To make this an incentive-compatible choice, participants also read: “We will offer ten randomly selected participants to receive the product that they chose once the product is launched.” </w:t>
      </w:r>
    </w:p>
    <w:p w14:paraId="51BDFFA4"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each product category, participants saw a visually complex and a visually simple option side-by-side, presented in a randomized order. In the efficacy criterion condition, we asked participants, “If you needed an/a [energy drink/soap/protein powder/paper towel] to/that [maximize your performance and energy/provides the most powerful cleaning and protection/maximize your muscle growth and performance/absorbs the most and cleans effectively], which one would you purchase?”. In the eco-friendliness criterion condition, we asked, “If you wanted an [energy drink/soap/protein powder/paper towel] that is eco-friendlier and generates less waste, which one would you purchase?”</w:t>
      </w:r>
    </w:p>
    <w:p w14:paraId="010523FA"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 complexity (simplicity) was operationalized via the number of distinguishable visual elements present on the product package (see appendix C for all stimuli). Package graphic designs consisted of abstract geometrical patterns, to avoid implying any additional information </w:t>
      </w:r>
      <w:r>
        <w:rPr>
          <w:rFonts w:ascii="Times New Roman" w:eastAsia="Times New Roman" w:hAnsi="Times New Roman" w:cs="Times New Roman"/>
          <w:sz w:val="24"/>
          <w:szCs w:val="24"/>
        </w:rPr>
        <w:lastRenderedPageBreak/>
        <w:t xml:space="preserve">through the design. We pretested all these replicates to ensure participants indeed perceived the visually complex packages as more complex (web appendix B). </w:t>
      </w:r>
    </w:p>
    <w:p w14:paraId="3D41E8CA"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making their four choices, participants provided demographics. Because the presented products were fictitious, we told participants at the end of the study that those selected to receive their chosen option would be contacted through Prolific in the future, once the products were fully developed. We paid participants a special monetary bonus as a substitute for the products.</w:t>
      </w:r>
    </w:p>
    <w:p w14:paraId="248C655A" w14:textId="77777777" w:rsidR="00391B4B" w:rsidRDefault="00391B4B">
      <w:pPr>
        <w:spacing w:after="0" w:line="480" w:lineRule="auto"/>
        <w:rPr>
          <w:rFonts w:ascii="Times New Roman" w:eastAsia="Times New Roman" w:hAnsi="Times New Roman" w:cs="Times New Roman"/>
          <w:b/>
          <w:sz w:val="24"/>
          <w:szCs w:val="24"/>
        </w:rPr>
      </w:pPr>
    </w:p>
    <w:p w14:paraId="0DA52294"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132C3BEB" w14:textId="77777777" w:rsidR="00391B4B" w:rsidRDefault="00391B4B">
      <w:pPr>
        <w:spacing w:after="0" w:line="480" w:lineRule="auto"/>
        <w:rPr>
          <w:rFonts w:ascii="Times New Roman" w:eastAsia="Times New Roman" w:hAnsi="Times New Roman" w:cs="Times New Roman"/>
          <w:b/>
          <w:sz w:val="24"/>
          <w:szCs w:val="24"/>
        </w:rPr>
      </w:pPr>
    </w:p>
    <w:p w14:paraId="23036A09" w14:textId="2F2BDC11"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ran a generalized estimating equations (GEE) model, which is a generalized form of logistic regression for choices in a repeated-measures design (Liang and Zeger 1986), with a 2 (evaluation criterion) × 4 (product replicate) mixed design. The analysis revealed no evaluation criterion × product replicate interaction (</w:t>
      </w:r>
      <w:r>
        <w:rPr>
          <w:rFonts w:ascii="Times New Roman" w:eastAsia="Times New Roman" w:hAnsi="Times New Roman" w:cs="Times New Roman"/>
          <w:i/>
          <w:sz w:val="24"/>
          <w:szCs w:val="24"/>
        </w:rPr>
        <w:t>Wald</w:t>
      </w:r>
      <w:r>
        <w:rPr>
          <w:rFonts w:ascii="Times New Roman" w:eastAsia="Times New Roman" w:hAnsi="Times New Roman" w:cs="Times New Roman"/>
          <w:sz w:val="24"/>
          <w:szCs w:val="24"/>
        </w:rPr>
        <w:t xml:space="preserve"> χ</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(3) = 4.67,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.197), suggesting that the pattern of results is consistent across replicates.</w:t>
      </w:r>
    </w:p>
    <w:p w14:paraId="55078F92"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z-test that aggregated all choices of visually complex vs. simple products for each participant showed that in the efficacy maximization condition, the choice share of complex (relative to simple) products was significantly greater than 50% (68.5%,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 7.40,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Conversely, in the eco-friendliness evaluation criterion condition, the choice share of simple (relative to complex) products was significantly greater than 50% (75.3%,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 9.92,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w:t>
      </w:r>
    </w:p>
    <w:p w14:paraId="36292CBA" w14:textId="4B57175C" w:rsidR="00EB6AF3"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same pattern was observed for each of the replicates individually. In the efficacy maximization evaluation criterion condition, the choice share of visually complex (relative to simple) products was greater than 50% for energy drinks (67%,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 3.40,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soaps (65%, </w:t>
      </w:r>
      <w:r>
        <w:rPr>
          <w:rFonts w:ascii="Times New Roman" w:eastAsia="Times New Roman" w:hAnsi="Times New Roman" w:cs="Times New Roman"/>
          <w:i/>
          <w:sz w:val="24"/>
          <w:szCs w:val="24"/>
        </w:rPr>
        <w:lastRenderedPageBreak/>
        <w:t>z</w:t>
      </w:r>
      <w:r>
        <w:rPr>
          <w:rFonts w:ascii="Times New Roman" w:eastAsia="Times New Roman" w:hAnsi="Times New Roman" w:cs="Times New Roman"/>
          <w:sz w:val="24"/>
          <w:szCs w:val="24"/>
        </w:rPr>
        <w:t xml:space="preserve"> = 3.00,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.003), protein powders (64%,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 5.59,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.005), and paper towels (78%,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 5.60,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Conversely, in the eco-friendliness evaluation criterion condition, the choice share of visually simple (relative to complex) products was greater than 50% for energy drinks (75%,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 4.90,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soaps (78%,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 5.51,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protein powders (73%,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 4.49,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and paper towels (75%,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 4.90,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w:t>
      </w:r>
      <w:r w:rsidR="00B77A4D">
        <w:rPr>
          <w:rFonts w:ascii="Times New Roman" w:eastAsia="Times New Roman" w:hAnsi="Times New Roman" w:cs="Times New Roman"/>
          <w:sz w:val="24"/>
          <w:szCs w:val="24"/>
        </w:rPr>
        <w:t xml:space="preserve"> As expected, the pattern of results</w:t>
      </w:r>
      <w:r w:rsidR="00EB6AF3" w:rsidRPr="00EB6AF3">
        <w:rPr>
          <w:rFonts w:ascii="Times New Roman" w:eastAsia="Times New Roman" w:hAnsi="Times New Roman" w:cs="Times New Roman"/>
          <w:sz w:val="24"/>
          <w:szCs w:val="24"/>
        </w:rPr>
        <w:t xml:space="preserve"> </w:t>
      </w:r>
      <w:r w:rsidR="00EB6AF3">
        <w:rPr>
          <w:rFonts w:ascii="Times New Roman" w:eastAsia="Times New Roman" w:hAnsi="Times New Roman" w:cs="Times New Roman"/>
          <w:sz w:val="24"/>
          <w:szCs w:val="24"/>
        </w:rPr>
        <w:t xml:space="preserve">was the same when analyzed using chi-squared tests (all </w:t>
      </w:r>
      <w:r w:rsidR="00EB6AF3" w:rsidRPr="00C727AD">
        <w:rPr>
          <w:rFonts w:ascii="Times New Roman" w:hAnsi="Times New Roman" w:cs="Times New Roman"/>
          <w:sz w:val="24"/>
          <w:szCs w:val="24"/>
        </w:rPr>
        <w:t>χ²</w:t>
      </w:r>
      <w:r w:rsidR="00EB6AF3">
        <w:rPr>
          <w:rFonts w:ascii="Times New Roman" w:hAnsi="Times New Roman" w:cs="Times New Roman"/>
          <w:sz w:val="24"/>
          <w:szCs w:val="24"/>
        </w:rPr>
        <w:t>(1)</w:t>
      </w:r>
      <w:r w:rsidR="001214A7">
        <w:rPr>
          <w:rFonts w:ascii="Times New Roman" w:hAnsi="Times New Roman" w:cs="Times New Roman"/>
          <w:sz w:val="24"/>
          <w:szCs w:val="24"/>
        </w:rPr>
        <w:t>’</w:t>
      </w:r>
      <w:r w:rsidR="00EB6AF3">
        <w:rPr>
          <w:rFonts w:ascii="Times New Roman" w:hAnsi="Times New Roman" w:cs="Times New Roman"/>
          <w:sz w:val="24"/>
          <w:szCs w:val="24"/>
        </w:rPr>
        <w:t>s &gt;</w:t>
      </w:r>
      <w:r w:rsidR="00EB6AF3" w:rsidRPr="00C727AD">
        <w:rPr>
          <w:rFonts w:ascii="Times New Roman" w:hAnsi="Times New Roman" w:cs="Times New Roman"/>
          <w:sz w:val="24"/>
          <w:szCs w:val="24"/>
        </w:rPr>
        <w:t xml:space="preserve"> </w:t>
      </w:r>
      <w:r w:rsidR="00EB6AF3">
        <w:rPr>
          <w:rFonts w:ascii="Times New Roman" w:hAnsi="Times New Roman" w:cs="Times New Roman"/>
          <w:sz w:val="24"/>
          <w:szCs w:val="24"/>
        </w:rPr>
        <w:t>26.85</w:t>
      </w:r>
      <w:r w:rsidR="00EB6AF3" w:rsidRPr="00C727AD">
        <w:rPr>
          <w:rFonts w:ascii="Times New Roman" w:hAnsi="Times New Roman" w:cs="Times New Roman"/>
          <w:sz w:val="24"/>
          <w:szCs w:val="24"/>
        </w:rPr>
        <w:t xml:space="preserve">, </w:t>
      </w:r>
      <w:r w:rsidR="00EB6AF3" w:rsidRPr="00C727AD">
        <w:rPr>
          <w:rFonts w:ascii="Times New Roman" w:hAnsi="Times New Roman" w:cs="Times New Roman"/>
          <w:i/>
          <w:iCs/>
          <w:sz w:val="24"/>
          <w:szCs w:val="24"/>
        </w:rPr>
        <w:t>p</w:t>
      </w:r>
      <w:r w:rsidR="00EB6AF3">
        <w:rPr>
          <w:rFonts w:ascii="Times New Roman" w:hAnsi="Times New Roman" w:cs="Times New Roman"/>
          <w:sz w:val="24"/>
          <w:szCs w:val="24"/>
        </w:rPr>
        <w:t>’s</w:t>
      </w:r>
      <w:r w:rsidR="00EB6AF3" w:rsidRPr="00C727AD">
        <w:rPr>
          <w:rFonts w:ascii="Times New Roman" w:hAnsi="Times New Roman" w:cs="Times New Roman"/>
          <w:sz w:val="24"/>
          <w:szCs w:val="24"/>
        </w:rPr>
        <w:t xml:space="preserve"> &lt; .001</w:t>
      </w:r>
      <w:r w:rsidR="001214A7">
        <w:rPr>
          <w:rFonts w:ascii="Times New Roman" w:hAnsi="Times New Roman" w:cs="Times New Roman"/>
          <w:sz w:val="24"/>
          <w:szCs w:val="24"/>
        </w:rPr>
        <w:t>).</w:t>
      </w:r>
      <w:r w:rsidR="00B77A4D">
        <w:rPr>
          <w:rFonts w:ascii="Times New Roman" w:eastAsia="Times New Roman" w:hAnsi="Times New Roman" w:cs="Times New Roman"/>
          <w:sz w:val="24"/>
          <w:szCs w:val="24"/>
        </w:rPr>
        <w:t xml:space="preserve"> </w:t>
      </w:r>
    </w:p>
    <w:p w14:paraId="7E37F2B0" w14:textId="2460F1CE"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43663FCD" w14:textId="77777777" w:rsidR="00391B4B" w:rsidRDefault="00391B4B">
      <w:pPr>
        <w:spacing w:after="0" w:line="480" w:lineRule="auto"/>
        <w:rPr>
          <w:rFonts w:ascii="Times New Roman" w:eastAsia="Times New Roman" w:hAnsi="Times New Roman" w:cs="Times New Roman"/>
          <w:b/>
          <w:sz w:val="24"/>
          <w:szCs w:val="24"/>
        </w:rPr>
      </w:pPr>
    </w:p>
    <w:p w14:paraId="44AA6AAC" w14:textId="65C37548"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Study 2 provides causal and generalizable evidence for our effect: Participants were more likely to choose a visually complex (vs. simple) option when considering an efficacy (vs. eco-friendliness) evaluation criterion. The effect held across four different product categories, including food and non-food consumer packaged goods. These results extend the generalizability of our findings beyond previous research that focused on food products’ healthiness perceptions (Ton et al. 2024). A conceptual replication of this study is reported in web appendix D.</w:t>
      </w:r>
    </w:p>
    <w:p w14:paraId="58CB2219" w14:textId="77777777" w:rsidR="00391B4B" w:rsidRDefault="00391B4B">
      <w:pPr>
        <w:spacing w:after="0" w:line="480" w:lineRule="auto"/>
        <w:rPr>
          <w:rFonts w:ascii="Times New Roman" w:eastAsia="Times New Roman" w:hAnsi="Times New Roman" w:cs="Times New Roman"/>
          <w:b/>
          <w:sz w:val="28"/>
          <w:szCs w:val="28"/>
        </w:rPr>
      </w:pPr>
    </w:p>
    <w:p w14:paraId="03E7FC37" w14:textId="77777777" w:rsidR="00391B4B" w:rsidRDefault="006E2B95">
      <w:pPr>
        <w:spacing w:after="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Studies 3a and 3b: The mediating role of perceived manufacturing resources </w:t>
      </w:r>
    </w:p>
    <w:p w14:paraId="75C3895E" w14:textId="77777777" w:rsidR="00391B4B" w:rsidRDefault="00391B4B">
      <w:pPr>
        <w:spacing w:after="0" w:line="480" w:lineRule="auto"/>
        <w:jc w:val="center"/>
        <w:rPr>
          <w:rFonts w:ascii="Times New Roman" w:eastAsia="Times New Roman" w:hAnsi="Times New Roman" w:cs="Times New Roman"/>
          <w:b/>
          <w:sz w:val="24"/>
          <w:szCs w:val="24"/>
        </w:rPr>
      </w:pPr>
    </w:p>
    <w:p w14:paraId="6979CE9C" w14:textId="153DD68F" w:rsidR="00391B4B" w:rsidRDefault="006E2B95">
      <w:pPr>
        <w:spacing w:after="0" w:line="480" w:lineRule="auto"/>
        <w:ind w:firstLine="720"/>
        <w:rPr>
          <w:rFonts w:ascii="Times New Roman" w:eastAsia="Times New Roman" w:hAnsi="Times New Roman" w:cs="Times New Roman"/>
          <w:sz w:val="24"/>
          <w:szCs w:val="24"/>
        </w:rPr>
      </w:pPr>
      <w:bookmarkStart w:id="7" w:name="_poitk4929hm0" w:colFirst="0" w:colLast="0"/>
      <w:bookmarkEnd w:id="7"/>
      <w:r>
        <w:rPr>
          <w:rFonts w:ascii="Times New Roman" w:eastAsia="Times New Roman" w:hAnsi="Times New Roman" w:cs="Times New Roman"/>
          <w:sz w:val="24"/>
          <w:szCs w:val="24"/>
        </w:rPr>
        <w:t xml:space="preserve">Studies 3a and 3b test the effect of design complexity on product inferences and purchase intention using a mediation approach. We have argued that when consumers have an efficacy evaluation criterion, visual complexity (vs. simplicity) increases perceptions of tangible resources used to manufacture the products. In turn, this increases efficacy perceptions, which leads to increased purchase intentions. Our theorizing predicts that the positive effect of visual complexity (vs. simplicity) on purchase intention </w:t>
      </w:r>
      <w:r w:rsidR="00106E95">
        <w:rPr>
          <w:rFonts w:ascii="Times New Roman" w:eastAsia="Times New Roman" w:hAnsi="Times New Roman" w:cs="Times New Roman"/>
          <w:sz w:val="24"/>
          <w:szCs w:val="24"/>
        </w:rPr>
        <w:t xml:space="preserve">will </w:t>
      </w:r>
      <w:r>
        <w:rPr>
          <w:rFonts w:ascii="Times New Roman" w:eastAsia="Times New Roman" w:hAnsi="Times New Roman" w:cs="Times New Roman"/>
          <w:sz w:val="24"/>
          <w:szCs w:val="24"/>
        </w:rPr>
        <w:t xml:space="preserve">be serially mediated by greater perceived </w:t>
      </w:r>
      <w:r>
        <w:rPr>
          <w:rFonts w:ascii="Times New Roman" w:eastAsia="Times New Roman" w:hAnsi="Times New Roman" w:cs="Times New Roman"/>
          <w:sz w:val="24"/>
          <w:szCs w:val="24"/>
        </w:rPr>
        <w:lastRenderedPageBreak/>
        <w:t xml:space="preserve">resources, followed by perceived efficacy. </w:t>
      </w:r>
      <w:r w:rsidR="00157236">
        <w:rPr>
          <w:rFonts w:ascii="Times New Roman" w:eastAsia="Times New Roman" w:hAnsi="Times New Roman" w:cs="Times New Roman"/>
          <w:sz w:val="24"/>
          <w:szCs w:val="24"/>
        </w:rPr>
        <w:t xml:space="preserve">Given that moderation by evaluation criterion </w:t>
      </w:r>
      <w:r w:rsidR="00157236" w:rsidRPr="00157236">
        <w:rPr>
          <w:rFonts w:ascii="Times New Roman" w:eastAsia="Times New Roman" w:hAnsi="Times New Roman" w:cs="Times New Roman"/>
          <w:sz w:val="24"/>
          <w:szCs w:val="24"/>
          <w:lang w:val="en"/>
        </w:rPr>
        <w:t>was already established in Study 2, Studies 3a and 3b provide an opportunity to focus more precisely on the mediating process under each criterion</w:t>
      </w:r>
      <w:r w:rsidR="00157236">
        <w:rPr>
          <w:rFonts w:ascii="Times New Roman" w:eastAsia="Times New Roman" w:hAnsi="Times New Roman" w:cs="Times New Roman"/>
          <w:sz w:val="24"/>
          <w:szCs w:val="24"/>
          <w:lang w:val="en"/>
        </w:rPr>
        <w:t xml:space="preserve"> separately</w:t>
      </w:r>
      <w:r w:rsidR="00157236" w:rsidRPr="00157236">
        <w:rPr>
          <w:rFonts w:ascii="Times New Roman" w:eastAsia="Times New Roman" w:hAnsi="Times New Roman" w:cs="Times New Roman"/>
          <w:sz w:val="24"/>
          <w:szCs w:val="24"/>
          <w:lang w:val="en"/>
        </w:rPr>
        <w:t>.</w:t>
      </w:r>
    </w:p>
    <w:p w14:paraId="00F8336F" w14:textId="3B07D133"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when consumers have an eco-friendliness evaluation criterion, visual simplicity (vs. complexity) decreases perceptions of tangible resources used to manufacture the products. In turn, this increases eco-friendliness perceptions, which leads to increased purchase intentions. Our theorizing predicts that the positive effect of visual simplicity (vs. complexity) on purchase intention </w:t>
      </w:r>
      <w:r w:rsidR="000628B7">
        <w:rPr>
          <w:rFonts w:ascii="Times New Roman" w:eastAsia="Times New Roman" w:hAnsi="Times New Roman" w:cs="Times New Roman"/>
          <w:sz w:val="24"/>
          <w:szCs w:val="24"/>
        </w:rPr>
        <w:t xml:space="preserve">will </w:t>
      </w:r>
      <w:r>
        <w:rPr>
          <w:rFonts w:ascii="Times New Roman" w:eastAsia="Times New Roman" w:hAnsi="Times New Roman" w:cs="Times New Roman"/>
          <w:sz w:val="24"/>
          <w:szCs w:val="24"/>
        </w:rPr>
        <w:t xml:space="preserve">be serially mediated by lesser perceived resources, followed by perceived eco-friendliness. </w:t>
      </w:r>
    </w:p>
    <w:p w14:paraId="4CD9C6FF" w14:textId="19D20AD1"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supporting our theorizing, Studies 3a and 3b test two alternative accounts: aesthetic appeal and conceptual fluency, discussed after the main results. A conceptual replication of this study, reported in web appendix F, rules out additional alternative accounts based on intangible resource use, luxury, prestige, expensiveness, and store brand perceptions.</w:t>
      </w:r>
      <w:r w:rsidR="00157236">
        <w:rPr>
          <w:rFonts w:ascii="Times New Roman" w:eastAsia="Times New Roman" w:hAnsi="Times New Roman" w:cs="Times New Roman"/>
          <w:sz w:val="24"/>
          <w:szCs w:val="24"/>
        </w:rPr>
        <w:t xml:space="preserve"> We also rule out a perceptual fluency account. </w:t>
      </w:r>
    </w:p>
    <w:p w14:paraId="59B3FBC7" w14:textId="77777777" w:rsidR="00391B4B" w:rsidRDefault="00391B4B">
      <w:pPr>
        <w:spacing w:after="0" w:line="480" w:lineRule="auto"/>
        <w:rPr>
          <w:rFonts w:ascii="Times New Roman" w:eastAsia="Times New Roman" w:hAnsi="Times New Roman" w:cs="Times New Roman"/>
          <w:b/>
          <w:sz w:val="28"/>
          <w:szCs w:val="28"/>
        </w:rPr>
      </w:pPr>
    </w:p>
    <w:p w14:paraId="68CEF01C" w14:textId="77777777" w:rsidR="00391B4B" w:rsidRDefault="006E2B95">
      <w:pPr>
        <w:spacing w:after="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Study 3a: The effect of complexity under an efficacy criterion</w:t>
      </w:r>
    </w:p>
    <w:p w14:paraId="65DE54CF" w14:textId="77777777" w:rsidR="00391B4B" w:rsidRDefault="00391B4B">
      <w:pPr>
        <w:spacing w:after="0" w:line="480" w:lineRule="auto"/>
        <w:ind w:firstLine="720"/>
        <w:rPr>
          <w:rFonts w:ascii="Times New Roman" w:eastAsia="Times New Roman" w:hAnsi="Times New Roman" w:cs="Times New Roman"/>
          <w:sz w:val="24"/>
          <w:szCs w:val="24"/>
        </w:rPr>
      </w:pPr>
    </w:p>
    <w:p w14:paraId="1D6885F5"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4DE7CC0A" w14:textId="77777777" w:rsidR="00391B4B" w:rsidRDefault="00391B4B">
      <w:pPr>
        <w:spacing w:after="0" w:line="480" w:lineRule="auto"/>
        <w:rPr>
          <w:rFonts w:ascii="Times New Roman" w:eastAsia="Times New Roman" w:hAnsi="Times New Roman" w:cs="Times New Roman"/>
          <w:b/>
          <w:sz w:val="24"/>
          <w:szCs w:val="24"/>
        </w:rPr>
      </w:pPr>
    </w:p>
    <w:p w14:paraId="508B72C6"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Participants and design</w:t>
      </w:r>
      <w:r>
        <w:rPr>
          <w:rFonts w:ascii="Times New Roman" w:eastAsia="Times New Roman" w:hAnsi="Times New Roman" w:cs="Times New Roman"/>
          <w:sz w:val="24"/>
          <w:szCs w:val="24"/>
        </w:rPr>
        <w:t xml:space="preserve"> Consistent with our preregistration (</w:t>
      </w:r>
      <w:hyperlink r:id="rId13">
        <w:r>
          <w:rPr>
            <w:rFonts w:ascii="Times New Roman" w:eastAsia="Times New Roman" w:hAnsi="Times New Roman" w:cs="Times New Roman"/>
            <w:color w:val="0563C1"/>
            <w:sz w:val="24"/>
            <w:szCs w:val="24"/>
            <w:u w:val="single"/>
          </w:rPr>
          <w:t>https://aspredicted.org/zg3q-cx9c.pdf</w:t>
        </w:r>
      </w:hyperlink>
      <w:r>
        <w:rPr>
          <w:rFonts w:ascii="Times New Roman" w:eastAsia="Times New Roman" w:hAnsi="Times New Roman" w:cs="Times New Roman"/>
          <w:sz w:val="24"/>
          <w:szCs w:val="24"/>
        </w:rPr>
        <w:t xml:space="preserve">), we recruited 204 U.S. Prolific participants (56.9% female,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age</w:t>
      </w:r>
      <w:r>
        <w:rPr>
          <w:rFonts w:ascii="Times New Roman" w:eastAsia="Times New Roman" w:hAnsi="Times New Roman" w:cs="Times New Roman"/>
          <w:sz w:val="24"/>
          <w:szCs w:val="24"/>
        </w:rPr>
        <w:t xml:space="preserve"> = 38.75) who passed the attention check and completed the entire study. Participants received a small monetary </w:t>
      </w:r>
      <w:r>
        <w:rPr>
          <w:rFonts w:ascii="Times New Roman" w:eastAsia="Times New Roman" w:hAnsi="Times New Roman" w:cs="Times New Roman"/>
          <w:sz w:val="24"/>
          <w:szCs w:val="24"/>
        </w:rPr>
        <w:lastRenderedPageBreak/>
        <w:t>compensation. This study had a 2-cell (visual package design: complex vs. simple) between-subjects design.</w:t>
      </w:r>
    </w:p>
    <w:p w14:paraId="10BEF94A" w14:textId="77777777" w:rsidR="00391B4B" w:rsidRDefault="00391B4B">
      <w:pPr>
        <w:spacing w:after="0" w:line="480" w:lineRule="auto"/>
        <w:ind w:firstLine="720"/>
        <w:rPr>
          <w:rFonts w:ascii="Times New Roman" w:eastAsia="Times New Roman" w:hAnsi="Times New Roman" w:cs="Times New Roman"/>
          <w:i/>
          <w:sz w:val="24"/>
          <w:szCs w:val="24"/>
        </w:rPr>
      </w:pPr>
    </w:p>
    <w:p w14:paraId="096E39D1" w14:textId="2ACCCC11"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Procedure</w:t>
      </w:r>
      <w:r>
        <w:rPr>
          <w:rFonts w:ascii="Times New Roman" w:eastAsia="Times New Roman" w:hAnsi="Times New Roman" w:cs="Times New Roman"/>
          <w:sz w:val="24"/>
          <w:szCs w:val="24"/>
        </w:rPr>
        <w:t xml:space="preserve"> We told participants we were developing a new product and that we were interested in their opinions. Participants read, “Imagine you are shopping for soaps. You go into the store and see the options below. The product we are developing is in the middle on the second shelf.” Participants saw a mock-up stage image of a shelf with nine different soaps, all of which had brand names concealed, purportedly for copyright reasons. </w:t>
      </w:r>
      <w:r w:rsidR="00F10418">
        <w:rPr>
          <w:rFonts w:ascii="Times New Roman" w:eastAsia="Times New Roman" w:hAnsi="Times New Roman" w:cs="Times New Roman"/>
          <w:sz w:val="24"/>
          <w:szCs w:val="24"/>
        </w:rPr>
        <w:t>I</w:t>
      </w:r>
      <w:r>
        <w:rPr>
          <w:rFonts w:ascii="Times New Roman" w:eastAsia="Times New Roman" w:hAnsi="Times New Roman" w:cs="Times New Roman"/>
          <w:sz w:val="24"/>
          <w:szCs w:val="24"/>
        </w:rPr>
        <w:t>n the complex condition, the visually complex target product was presented in the center of the image, surrounded by other products with simpler design. In the simple condition, a relatively simple target product was surrounded by more visually complex products (appendix D).</w:t>
      </w:r>
    </w:p>
    <w:p w14:paraId="64ACC7A9" w14:textId="274CD51C"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Next, we measured our dependent variable and mediators in randomized order (see web appendix E). </w:t>
      </w:r>
      <w:r w:rsidR="00604DDA">
        <w:rPr>
          <w:rFonts w:ascii="Times New Roman" w:eastAsia="Times New Roman" w:hAnsi="Times New Roman" w:cs="Times New Roman"/>
          <w:sz w:val="24"/>
          <w:szCs w:val="24"/>
        </w:rPr>
        <w:t>R</w:t>
      </w:r>
      <w:r w:rsidR="00556F4A">
        <w:rPr>
          <w:rFonts w:ascii="Times New Roman" w:eastAsia="Times New Roman" w:hAnsi="Times New Roman" w:cs="Times New Roman"/>
          <w:sz w:val="24"/>
          <w:szCs w:val="24"/>
        </w:rPr>
        <w:t xml:space="preserve">andomization </w:t>
      </w:r>
      <w:r w:rsidR="00157236">
        <w:rPr>
          <w:rFonts w:ascii="Times New Roman" w:eastAsia="Times New Roman" w:hAnsi="Times New Roman" w:cs="Times New Roman"/>
          <w:sz w:val="24"/>
          <w:szCs w:val="24"/>
        </w:rPr>
        <w:t>minimizes</w:t>
      </w:r>
      <w:r w:rsidR="00556F4A">
        <w:rPr>
          <w:rFonts w:ascii="Times New Roman" w:eastAsia="Times New Roman" w:hAnsi="Times New Roman" w:cs="Times New Roman"/>
          <w:sz w:val="24"/>
          <w:szCs w:val="24"/>
        </w:rPr>
        <w:t xml:space="preserve"> systematic </w:t>
      </w:r>
      <w:r w:rsidR="00604DDA">
        <w:rPr>
          <w:rFonts w:ascii="Times New Roman" w:eastAsia="Times New Roman" w:hAnsi="Times New Roman" w:cs="Times New Roman"/>
          <w:sz w:val="24"/>
          <w:szCs w:val="24"/>
        </w:rPr>
        <w:t xml:space="preserve">influences across measures in either direction </w:t>
      </w:r>
      <w:proofErr w:type="gramStart"/>
      <w:r w:rsidR="00604DDA">
        <w:rPr>
          <w:rFonts w:ascii="Times New Roman" w:eastAsia="Times New Roman" w:hAnsi="Times New Roman" w:cs="Times New Roman"/>
          <w:sz w:val="24"/>
          <w:szCs w:val="24"/>
        </w:rPr>
        <w:t>and</w:t>
      </w:r>
      <w:proofErr w:type="gramEnd"/>
      <w:r w:rsidR="00604DDA">
        <w:rPr>
          <w:rFonts w:ascii="Times New Roman" w:eastAsia="Times New Roman" w:hAnsi="Times New Roman" w:cs="Times New Roman"/>
          <w:sz w:val="24"/>
          <w:szCs w:val="24"/>
        </w:rPr>
        <w:t xml:space="preserve"> is consistent with prior research (e.g., Sela et al. 2</w:t>
      </w:r>
      <w:r w:rsidR="00300A4E">
        <w:rPr>
          <w:rFonts w:ascii="Times New Roman" w:eastAsia="Times New Roman" w:hAnsi="Times New Roman" w:cs="Times New Roman"/>
          <w:sz w:val="24"/>
          <w:szCs w:val="24"/>
        </w:rPr>
        <w:t>0</w:t>
      </w:r>
      <w:r w:rsidR="00604DDA">
        <w:rPr>
          <w:rFonts w:ascii="Times New Roman" w:eastAsia="Times New Roman" w:hAnsi="Times New Roman" w:cs="Times New Roman"/>
          <w:sz w:val="24"/>
          <w:szCs w:val="24"/>
        </w:rPr>
        <w:t xml:space="preserve">19, Study 1). </w:t>
      </w:r>
      <w:r>
        <w:rPr>
          <w:rFonts w:ascii="Times New Roman" w:eastAsia="Times New Roman" w:hAnsi="Times New Roman" w:cs="Times New Roman"/>
          <w:sz w:val="24"/>
          <w:szCs w:val="24"/>
        </w:rPr>
        <w:t>Purchase intention was measured with a single item, and the activation of an efficacy evaluation criterion was embedded in the question itself: “</w:t>
      </w:r>
      <w:r w:rsidR="000628B7">
        <w:rPr>
          <w:rFonts w:ascii="Times New Roman" w:eastAsia="Times New Roman" w:hAnsi="Times New Roman" w:cs="Times New Roman"/>
          <w:sz w:val="24"/>
          <w:szCs w:val="24"/>
        </w:rPr>
        <w:t>I</w:t>
      </w:r>
      <w:r>
        <w:rPr>
          <w:rFonts w:ascii="Times New Roman" w:eastAsia="Times New Roman" w:hAnsi="Times New Roman" w:cs="Times New Roman"/>
          <w:sz w:val="24"/>
          <w:szCs w:val="24"/>
        </w:rPr>
        <w:t>f you needed a soap that provides the most powerful cleaning and protection, how likely would you be to purchase our soap?” (1 = “extremely unlikely,” to 7 = “extremely likely</w:t>
      </w:r>
      <w:r w:rsidR="00B77A4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53749C33"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first mediator, perceptions of tangible resource use, was measured using four items: how much energy do you think producing this product requires? (1 = “small amount of energy” to 7 = “large amount of energy”), how many raw materials do you think producing this product requires? (1 = “just a few raw materials” to 7 = “a lot of raw materials”), how many production steps do you think producing this product requires? (1 = “just a few production steps” to 7 = “a </w:t>
      </w:r>
      <w:r>
        <w:rPr>
          <w:rFonts w:ascii="Times New Roman" w:eastAsia="Times New Roman" w:hAnsi="Times New Roman" w:cs="Times New Roman"/>
          <w:sz w:val="24"/>
          <w:szCs w:val="24"/>
        </w:rPr>
        <w:lastRenderedPageBreak/>
        <w:t>lot of production steps”), and how many ingredients do you think producing this product requires? (1 = “just a few ingredients” to 7 = “a lot of ingredients”) (</w:t>
      </w: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 xml:space="preserve"> = .85). </w:t>
      </w:r>
    </w:p>
    <w:p w14:paraId="3B992965"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Our second mediator, efficacy perceptions, was measured using four 7-point items adapted from previous research (VanBergen et al. 2020): in general, how effective do you think this soap would be? (1 = “not at all effective” to 7 = “extremely effective”), how much do you think this soap would cleanse your skin? (1 = “not at all” to 7 = “a great deal”), “how effective do you think this soap is in dissolving dirt on your skin? (1 = “not at all” to 7 = “extremely”), and how potent do you think the active ingredients in this soap are? (1 = “not at all potent” to 7 = “extremely potent”) (</w:t>
      </w: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 xml:space="preserve"> = .93; combined to an index of perceived efficacy). </w:t>
      </w:r>
    </w:p>
    <w:p w14:paraId="7DD5CB80"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we measured alternative explanations. Aesthetic appeal (“how aesthetic </w:t>
      </w:r>
      <w:proofErr w:type="gramStart"/>
      <w:r>
        <w:rPr>
          <w:rFonts w:ascii="Times New Roman" w:eastAsia="Times New Roman" w:hAnsi="Times New Roman" w:cs="Times New Roman"/>
          <w:sz w:val="24"/>
          <w:szCs w:val="24"/>
        </w:rPr>
        <w:t>do</w:t>
      </w:r>
      <w:proofErr w:type="gramEnd"/>
      <w:r>
        <w:rPr>
          <w:rFonts w:ascii="Times New Roman" w:eastAsia="Times New Roman" w:hAnsi="Times New Roman" w:cs="Times New Roman"/>
          <w:sz w:val="24"/>
          <w:szCs w:val="24"/>
        </w:rPr>
        <w:t xml:space="preserve"> you think our product is?”; 1 = “not at all aesthetic” to 7 = “extremely aesthetic”), and conceptual fluency (“I had a hard time understanding what the product was about”; 1 = “strongly disagree” to 7 = “strongly agree”). Lastly, we collected demographics and thanked participants.</w:t>
      </w:r>
    </w:p>
    <w:p w14:paraId="0DECD61A" w14:textId="77777777" w:rsidR="00391B4B" w:rsidRDefault="00391B4B">
      <w:pPr>
        <w:spacing w:after="0" w:line="480" w:lineRule="auto"/>
        <w:rPr>
          <w:rFonts w:ascii="Times New Roman" w:eastAsia="Times New Roman" w:hAnsi="Times New Roman" w:cs="Times New Roman"/>
          <w:b/>
          <w:sz w:val="24"/>
          <w:szCs w:val="24"/>
        </w:rPr>
      </w:pPr>
    </w:p>
    <w:p w14:paraId="51DE6CCD"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5D00C7A4" w14:textId="77777777" w:rsidR="00391B4B" w:rsidRDefault="00391B4B">
      <w:pPr>
        <w:spacing w:after="0" w:line="480" w:lineRule="auto"/>
        <w:rPr>
          <w:rFonts w:ascii="Times New Roman" w:eastAsia="Times New Roman" w:hAnsi="Times New Roman" w:cs="Times New Roman"/>
          <w:b/>
          <w:sz w:val="24"/>
          <w:szCs w:val="24"/>
        </w:rPr>
      </w:pPr>
    </w:p>
    <w:p w14:paraId="01F7D040" w14:textId="77777777" w:rsidR="00391B4B" w:rsidRDefault="006E2B95">
      <w:pPr>
        <w:spacing w:after="0" w:line="480" w:lineRule="auto"/>
        <w:rPr>
          <w:rFonts w:ascii="Times New Roman" w:eastAsia="Times New Roman" w:hAnsi="Times New Roman" w:cs="Times New Roman"/>
          <w:sz w:val="24"/>
          <w:szCs w:val="24"/>
        </w:rPr>
      </w:pPr>
      <w:bookmarkStart w:id="8" w:name="_b2um2gni765p" w:colFirst="0" w:colLast="0"/>
      <w:bookmarkEnd w:id="8"/>
      <w:r>
        <w:rPr>
          <w:rFonts w:ascii="Times New Roman" w:eastAsia="Times New Roman" w:hAnsi="Times New Roman" w:cs="Times New Roman"/>
          <w:b/>
          <w:sz w:val="24"/>
          <w:szCs w:val="24"/>
        </w:rPr>
        <w:t xml:space="preserve">Purchase intention </w:t>
      </w:r>
      <w:r>
        <w:rPr>
          <w:rFonts w:ascii="Times New Roman" w:eastAsia="Times New Roman" w:hAnsi="Times New Roman" w:cs="Times New Roman"/>
          <w:sz w:val="24"/>
          <w:szCs w:val="24"/>
        </w:rPr>
        <w:t>Supporting our hypothesis, participants indicated they would be more likely to purchase the soap when the package design was visually complex than simple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5.29,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1.51 vs.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4.43,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1.73;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202) = 14.45,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Cohen’s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 .53).</w:t>
      </w:r>
    </w:p>
    <w:p w14:paraId="1AFCC96B" w14:textId="77777777" w:rsidR="00391B4B" w:rsidRDefault="00391B4B">
      <w:pPr>
        <w:spacing w:after="0" w:line="480" w:lineRule="auto"/>
        <w:rPr>
          <w:rFonts w:ascii="Times New Roman" w:eastAsia="Times New Roman" w:hAnsi="Times New Roman" w:cs="Times New Roman"/>
          <w:sz w:val="24"/>
          <w:szCs w:val="24"/>
        </w:rPr>
      </w:pPr>
    </w:p>
    <w:p w14:paraId="6EC7E11E"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Resource usage perceptions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predicted, participants perceived the product with the visually complex design as requiring more tangible resources than the product with the simple package </w:t>
      </w:r>
      <w:r>
        <w:rPr>
          <w:rFonts w:ascii="Times New Roman" w:eastAsia="Times New Roman" w:hAnsi="Times New Roman" w:cs="Times New Roman"/>
          <w:sz w:val="24"/>
          <w:szCs w:val="24"/>
        </w:rPr>
        <w:lastRenderedPageBreak/>
        <w:t>design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5.01,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1.05 vs.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3.92,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1.15;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202) = 50.34,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Cohen’s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 .99). </w:t>
      </w:r>
    </w:p>
    <w:p w14:paraId="0514252D" w14:textId="77777777" w:rsidR="00391B4B" w:rsidRDefault="00391B4B">
      <w:pPr>
        <w:spacing w:after="0" w:line="480" w:lineRule="auto"/>
        <w:rPr>
          <w:rFonts w:ascii="Times New Roman" w:eastAsia="Times New Roman" w:hAnsi="Times New Roman" w:cs="Times New Roman"/>
          <w:sz w:val="24"/>
          <w:szCs w:val="24"/>
        </w:rPr>
      </w:pPr>
    </w:p>
    <w:p w14:paraId="70E2EAC3"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Efficacy perceptions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predicted, participants perceived the product with the visually complex design as more efficacious than the product with the simple package design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5.33,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1.02 vs.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4.57,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1.23;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202) = 20.58,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Cohen’s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 .66). </w:t>
      </w:r>
    </w:p>
    <w:p w14:paraId="4C553C9D" w14:textId="77777777" w:rsidR="00391B4B" w:rsidRDefault="00391B4B">
      <w:pPr>
        <w:spacing w:after="0" w:line="480" w:lineRule="auto"/>
        <w:rPr>
          <w:rFonts w:ascii="Times New Roman" w:eastAsia="Times New Roman" w:hAnsi="Times New Roman" w:cs="Times New Roman"/>
          <w:sz w:val="24"/>
          <w:szCs w:val="24"/>
        </w:rPr>
      </w:pPr>
    </w:p>
    <w:p w14:paraId="7D0343F3" w14:textId="52E6BC06"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Mediation analysis</w:t>
      </w:r>
      <w:r>
        <w:rPr>
          <w:rFonts w:ascii="Times New Roman" w:eastAsia="Times New Roman" w:hAnsi="Times New Roman" w:cs="Times New Roman"/>
          <w:sz w:val="24"/>
          <w:szCs w:val="24"/>
        </w:rPr>
        <w:t xml:space="preserve"> We conducted a bootstrapping serial mediation analysis using PROCESS Model 6 (Hayes 2023), with design (complex vs. simple) as the independent variable, perceived tangible resources as the first mediator, efficacy perceptions as the second mediator, and purchase intention as the dependent variable. The serial mediation effect was significant (b = .48, 95% CI: [.26 to .75]), supporting our prediction.</w:t>
      </w:r>
      <w:r w:rsidR="00866334">
        <w:rPr>
          <w:rFonts w:ascii="Times New Roman" w:eastAsia="Times New Roman" w:hAnsi="Times New Roman" w:cs="Times New Roman"/>
          <w:sz w:val="24"/>
          <w:szCs w:val="24"/>
        </w:rPr>
        <w:t xml:space="preserve"> </w:t>
      </w:r>
    </w:p>
    <w:p w14:paraId="0D6F57F0" w14:textId="30A6D3CE" w:rsidR="00E45FC4" w:rsidRDefault="00E45FC4" w:rsidP="003F0243">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t>
      </w:r>
      <w:r w:rsidR="00A13C75">
        <w:rPr>
          <w:rFonts w:ascii="Times New Roman" w:eastAsia="Times New Roman" w:hAnsi="Times New Roman" w:cs="Times New Roman"/>
          <w:sz w:val="24"/>
          <w:szCs w:val="24"/>
        </w:rPr>
        <w:t>might</w:t>
      </w:r>
      <w:r>
        <w:rPr>
          <w:rFonts w:ascii="Times New Roman" w:eastAsia="Times New Roman" w:hAnsi="Times New Roman" w:cs="Times New Roman"/>
          <w:sz w:val="24"/>
          <w:szCs w:val="24"/>
        </w:rPr>
        <w:t xml:space="preserve"> wonder if the second mediator (i.e., efficacy perception) is redundant, </w:t>
      </w:r>
      <w:r w:rsidR="00A13C75">
        <w:rPr>
          <w:rFonts w:ascii="Times New Roman" w:eastAsia="Times New Roman" w:hAnsi="Times New Roman" w:cs="Times New Roman"/>
          <w:sz w:val="24"/>
          <w:szCs w:val="24"/>
        </w:rPr>
        <w:t>since</w:t>
      </w:r>
      <w:r>
        <w:rPr>
          <w:rFonts w:ascii="Times New Roman" w:eastAsia="Times New Roman" w:hAnsi="Times New Roman" w:cs="Times New Roman"/>
          <w:sz w:val="24"/>
          <w:szCs w:val="24"/>
        </w:rPr>
        <w:t xml:space="preserve"> both this mediator and the purchase intent dependent variable reference the efficacy evaluation criterion</w:t>
      </w:r>
      <w:r w:rsidR="00A13C75">
        <w:rPr>
          <w:rFonts w:ascii="Times New Roman" w:eastAsia="Times New Roman" w:hAnsi="Times New Roman" w:cs="Times New Roman"/>
          <w:sz w:val="24"/>
          <w:szCs w:val="24"/>
        </w:rPr>
        <w:t xml:space="preserve"> and load on a </w:t>
      </w:r>
      <w:r w:rsidR="002D4032">
        <w:rPr>
          <w:rFonts w:ascii="Times New Roman" w:eastAsia="Times New Roman" w:hAnsi="Times New Roman" w:cs="Times New Roman"/>
          <w:sz w:val="24"/>
          <w:szCs w:val="24"/>
        </w:rPr>
        <w:t>single factor in a confirmatory analysis we conducted</w:t>
      </w:r>
      <w:r>
        <w:rPr>
          <w:rFonts w:ascii="Times New Roman" w:eastAsia="Times New Roman" w:hAnsi="Times New Roman" w:cs="Times New Roman"/>
          <w:sz w:val="24"/>
          <w:szCs w:val="24"/>
        </w:rPr>
        <w:t xml:space="preserve">. As a robustness </w:t>
      </w:r>
      <w:r w:rsidR="00A13C75">
        <w:rPr>
          <w:rFonts w:ascii="Times New Roman" w:eastAsia="Times New Roman" w:hAnsi="Times New Roman" w:cs="Times New Roman"/>
          <w:sz w:val="24"/>
          <w:szCs w:val="24"/>
        </w:rPr>
        <w:t>check</w:t>
      </w:r>
      <w:r>
        <w:rPr>
          <w:rFonts w:ascii="Times New Roman" w:eastAsia="Times New Roman" w:hAnsi="Times New Roman" w:cs="Times New Roman"/>
          <w:sz w:val="24"/>
          <w:szCs w:val="24"/>
        </w:rPr>
        <w:t xml:space="preserve">, we conducted a simple mediation analysis </w:t>
      </w:r>
      <w:r w:rsidR="00A13C75">
        <w:rPr>
          <w:rFonts w:ascii="Times New Roman" w:eastAsia="Times New Roman" w:hAnsi="Times New Roman" w:cs="Times New Roman"/>
          <w:sz w:val="24"/>
          <w:szCs w:val="24"/>
        </w:rPr>
        <w:t>including</w:t>
      </w:r>
      <w:r>
        <w:rPr>
          <w:rFonts w:ascii="Times New Roman" w:eastAsia="Times New Roman" w:hAnsi="Times New Roman" w:cs="Times New Roman"/>
          <w:sz w:val="24"/>
          <w:szCs w:val="24"/>
        </w:rPr>
        <w:t xml:space="preserve"> only the </w:t>
      </w:r>
      <w:r w:rsidR="00A13C75">
        <w:rPr>
          <w:rFonts w:ascii="Times New Roman" w:eastAsia="Times New Roman" w:hAnsi="Times New Roman" w:cs="Times New Roman"/>
          <w:sz w:val="24"/>
          <w:szCs w:val="24"/>
        </w:rPr>
        <w:t xml:space="preserve">manufacturing resources mediator and the purchase intent DV, which was also significant (b = .71, 95% CI: [.40 to 1.06]). Thus, the result does not appear to hinge on any single model specification. </w:t>
      </w:r>
    </w:p>
    <w:p w14:paraId="5983EE25" w14:textId="69491806" w:rsidR="00D12061" w:rsidRPr="003F0243" w:rsidRDefault="00D12061">
      <w:pPr>
        <w:spacing w:after="0" w:line="480" w:lineRule="auto"/>
        <w:rPr>
          <w:rFonts w:ascii="Times New Roman" w:eastAsia="Batang" w:hAnsi="Times New Roman" w:cs="Times New Roman"/>
          <w:sz w:val="24"/>
          <w:szCs w:val="24"/>
        </w:rPr>
      </w:pPr>
    </w:p>
    <w:p w14:paraId="431ECFCA" w14:textId="77777777" w:rsidR="00866334" w:rsidRDefault="00866334" w:rsidP="00866334">
      <w:pPr>
        <w:spacing w:after="0" w:line="480" w:lineRule="auto"/>
        <w:ind w:firstLine="720"/>
        <w:rPr>
          <w:rFonts w:ascii="Times New Roman" w:eastAsia="Times New Roman" w:hAnsi="Times New Roman" w:cs="Times New Roman"/>
          <w:sz w:val="24"/>
          <w:szCs w:val="24"/>
        </w:rPr>
      </w:pPr>
    </w:p>
    <w:p w14:paraId="101641BE" w14:textId="77777777" w:rsidR="00866334" w:rsidRDefault="00866334" w:rsidP="0086633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0E4C2D5" w14:textId="348B032C" w:rsidR="00866334" w:rsidRDefault="00866334" w:rsidP="0086633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Insert figure 2a about here</w:t>
      </w:r>
    </w:p>
    <w:p w14:paraId="231330AF" w14:textId="77777777" w:rsidR="00866334" w:rsidRDefault="00866334" w:rsidP="00A13C75">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152B738" w14:textId="77777777" w:rsidR="00391B4B" w:rsidRDefault="00391B4B" w:rsidP="00866334">
      <w:pPr>
        <w:spacing w:after="0" w:line="480" w:lineRule="auto"/>
        <w:rPr>
          <w:rFonts w:ascii="Times New Roman" w:eastAsia="Times New Roman" w:hAnsi="Times New Roman" w:cs="Times New Roman"/>
          <w:b/>
          <w:sz w:val="28"/>
          <w:szCs w:val="28"/>
        </w:rPr>
      </w:pPr>
    </w:p>
    <w:p w14:paraId="5D4B8F12" w14:textId="77777777" w:rsidR="00391B4B" w:rsidRDefault="006E2B95">
      <w:pPr>
        <w:spacing w:after="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Study 3b: The effect of complexity under an eco-friendliness criterion</w:t>
      </w:r>
    </w:p>
    <w:p w14:paraId="36BC9A6E" w14:textId="77777777" w:rsidR="00391B4B" w:rsidRDefault="00391B4B">
      <w:pPr>
        <w:spacing w:after="0" w:line="480" w:lineRule="auto"/>
        <w:ind w:firstLine="720"/>
        <w:rPr>
          <w:rFonts w:ascii="Times New Roman" w:eastAsia="Times New Roman" w:hAnsi="Times New Roman" w:cs="Times New Roman"/>
          <w:sz w:val="24"/>
          <w:szCs w:val="24"/>
        </w:rPr>
      </w:pPr>
    </w:p>
    <w:p w14:paraId="7C7D3AAF"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6B414BC6" w14:textId="77777777" w:rsidR="00391B4B" w:rsidRDefault="00391B4B">
      <w:pPr>
        <w:spacing w:after="0" w:line="480" w:lineRule="auto"/>
        <w:rPr>
          <w:rFonts w:ascii="Times New Roman" w:eastAsia="Times New Roman" w:hAnsi="Times New Roman" w:cs="Times New Roman"/>
          <w:b/>
          <w:sz w:val="24"/>
          <w:szCs w:val="24"/>
        </w:rPr>
      </w:pPr>
    </w:p>
    <w:p w14:paraId="4304E30A"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Participants and design</w:t>
      </w:r>
      <w:r>
        <w:rPr>
          <w:rFonts w:ascii="Times New Roman" w:eastAsia="Times New Roman" w:hAnsi="Times New Roman" w:cs="Times New Roman"/>
          <w:sz w:val="24"/>
          <w:szCs w:val="24"/>
        </w:rPr>
        <w:t xml:space="preserve"> Consistent with our preregistration (</w:t>
      </w:r>
      <w:hyperlink r:id="rId14">
        <w:r>
          <w:rPr>
            <w:rFonts w:ascii="Times New Roman" w:eastAsia="Times New Roman" w:hAnsi="Times New Roman" w:cs="Times New Roman"/>
            <w:color w:val="0563C1"/>
            <w:sz w:val="24"/>
            <w:szCs w:val="24"/>
            <w:u w:val="single"/>
          </w:rPr>
          <w:t>https://aspredicted.org/b5r2-nr34.pdf</w:t>
        </w:r>
      </w:hyperlink>
      <w:r>
        <w:rPr>
          <w:rFonts w:ascii="Times New Roman" w:eastAsia="Times New Roman" w:hAnsi="Times New Roman" w:cs="Times New Roman"/>
          <w:sz w:val="24"/>
          <w:szCs w:val="24"/>
        </w:rPr>
        <w:t xml:space="preserve">), we recruited 205 U.S. Prolific participants (53.7% female,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age</w:t>
      </w:r>
      <w:r>
        <w:rPr>
          <w:rFonts w:ascii="Times New Roman" w:eastAsia="Times New Roman" w:hAnsi="Times New Roman" w:cs="Times New Roman"/>
          <w:sz w:val="24"/>
          <w:szCs w:val="24"/>
        </w:rPr>
        <w:t xml:space="preserve"> = 38.17) who passed the attention check and completed the entire study. Participants received a small monetary compensation. This study had a 2-cell (visual package design: complex vs. simple) between-subjects design.</w:t>
      </w:r>
    </w:p>
    <w:p w14:paraId="2D86D711" w14:textId="77777777" w:rsidR="00391B4B" w:rsidRDefault="00391B4B">
      <w:pPr>
        <w:spacing w:after="0" w:line="480" w:lineRule="auto"/>
        <w:ind w:firstLine="720"/>
        <w:rPr>
          <w:rFonts w:ascii="Times New Roman" w:eastAsia="Times New Roman" w:hAnsi="Times New Roman" w:cs="Times New Roman"/>
          <w:i/>
          <w:sz w:val="24"/>
          <w:szCs w:val="24"/>
        </w:rPr>
      </w:pPr>
    </w:p>
    <w:p w14:paraId="28F57840"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Procedure</w:t>
      </w:r>
      <w:r>
        <w:rPr>
          <w:rFonts w:ascii="Times New Roman" w:eastAsia="Times New Roman" w:hAnsi="Times New Roman" w:cs="Times New Roman"/>
          <w:sz w:val="24"/>
          <w:szCs w:val="24"/>
        </w:rPr>
        <w:t xml:space="preserve"> The procedure was similar to that of Study 3a, again using hypothetical soap products. The manipulation of complexity vs. simplicity was identical to the one described in Study 3a.   </w:t>
      </w:r>
    </w:p>
    <w:p w14:paraId="6C12F741"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Purchase intention was measured with a single item. The activation of an eco-friendliness evaluation criterion was embedded in the question itself: “if you wanted a soap that is eco-friendlier and generates less waste, how likely would you be to purchase our soap?” (1 = “extremely unlikely,” to 7 = “extremely likely). </w:t>
      </w:r>
    </w:p>
    <w:p w14:paraId="2EA467CF"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Our first mediator, perceptions of tangible resource use, was measured using the same four items from Study 3a (</w:t>
      </w: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 xml:space="preserve"> = .89). Our second mediator, eco-friendliness perceptions, was measured using four items, developed to be comparable to the efficacy items used in Study 3a: in general, how eco-friendly do you think this soap would be? (1 = “not at all eco-friendly” to 7 = “extremely eco-friendly”), how biodegradable do you think this soap would be? (1 = “not at all” to 7 = “extremely biodegradable”), how recyclable do you think this soap would be (1 = “not at </w:t>
      </w:r>
      <w:r>
        <w:rPr>
          <w:rFonts w:ascii="Times New Roman" w:eastAsia="Times New Roman" w:hAnsi="Times New Roman" w:cs="Times New Roman"/>
          <w:sz w:val="24"/>
          <w:szCs w:val="24"/>
        </w:rPr>
        <w:lastRenderedPageBreak/>
        <w:t>all” to 7 = “extremely recyclable”), how sustainable do you think the active ingredients in this soap are? (1 = “not at all sustainable” to 7 = “extremely sustainable”) (</w:t>
      </w: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 xml:space="preserve"> = .90; averaged to an index). </w:t>
      </w:r>
    </w:p>
    <w:p w14:paraId="742F38F4"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Next, we measured aesthetic appeal and fluency using the same items from Study 3a. Lastly, we collected demographics and thanked participants.</w:t>
      </w:r>
    </w:p>
    <w:p w14:paraId="52A8D0CA" w14:textId="77777777" w:rsidR="00391B4B" w:rsidRDefault="00391B4B">
      <w:pPr>
        <w:spacing w:after="0" w:line="480" w:lineRule="auto"/>
        <w:rPr>
          <w:rFonts w:ascii="Times New Roman" w:eastAsia="Times New Roman" w:hAnsi="Times New Roman" w:cs="Times New Roman"/>
          <w:b/>
          <w:color w:val="EE0000"/>
          <w:sz w:val="24"/>
          <w:szCs w:val="24"/>
        </w:rPr>
      </w:pPr>
    </w:p>
    <w:p w14:paraId="315EC1A8"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1B380F91" w14:textId="77777777" w:rsidR="00391B4B" w:rsidRDefault="00391B4B">
      <w:pPr>
        <w:spacing w:after="0" w:line="480" w:lineRule="auto"/>
        <w:rPr>
          <w:rFonts w:ascii="Times New Roman" w:eastAsia="Times New Roman" w:hAnsi="Times New Roman" w:cs="Times New Roman"/>
          <w:b/>
          <w:sz w:val="24"/>
          <w:szCs w:val="24"/>
        </w:rPr>
      </w:pPr>
    </w:p>
    <w:p w14:paraId="50B9F6BB"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Purchase intention </w:t>
      </w:r>
      <w:r>
        <w:rPr>
          <w:rFonts w:ascii="Times New Roman" w:eastAsia="Times New Roman" w:hAnsi="Times New Roman" w:cs="Times New Roman"/>
          <w:sz w:val="24"/>
          <w:szCs w:val="24"/>
        </w:rPr>
        <w:t>Supporting our hypothesis, participants indicated they would be more likely to purchase the soap when the package design was visually simple than complex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4.81,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1.70 vs.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5.78,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1.18;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203) = 22.88,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Cohen’s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 .66).</w:t>
      </w:r>
    </w:p>
    <w:p w14:paraId="093B4199" w14:textId="77777777" w:rsidR="00391B4B" w:rsidRDefault="00391B4B">
      <w:pPr>
        <w:widowControl w:val="0"/>
        <w:spacing w:before="240" w:after="0" w:line="480" w:lineRule="auto"/>
        <w:rPr>
          <w:rFonts w:ascii="Times New Roman" w:eastAsia="Times New Roman" w:hAnsi="Times New Roman" w:cs="Times New Roman"/>
          <w:sz w:val="24"/>
          <w:szCs w:val="24"/>
        </w:rPr>
      </w:pPr>
    </w:p>
    <w:p w14:paraId="41504002"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Resource usage perceptions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predicted, participants perceived the product with the visually simple design as requiring </w:t>
      </w:r>
      <w:proofErr w:type="gramStart"/>
      <w:r>
        <w:rPr>
          <w:rFonts w:ascii="Times New Roman" w:eastAsia="Times New Roman" w:hAnsi="Times New Roman" w:cs="Times New Roman"/>
          <w:sz w:val="24"/>
          <w:szCs w:val="24"/>
        </w:rPr>
        <w:t>less</w:t>
      </w:r>
      <w:proofErr w:type="gramEnd"/>
      <w:r>
        <w:rPr>
          <w:rFonts w:ascii="Times New Roman" w:eastAsia="Times New Roman" w:hAnsi="Times New Roman" w:cs="Times New Roman"/>
          <w:sz w:val="24"/>
          <w:szCs w:val="24"/>
        </w:rPr>
        <w:t xml:space="preserve"> tangible resources than the product with the complex package design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4.86,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1.04 vs.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4.15,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1.44;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203) = 16.39,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Cohen’s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 .57). </w:t>
      </w:r>
    </w:p>
    <w:p w14:paraId="3EB453C2" w14:textId="77777777" w:rsidR="00391B4B" w:rsidRDefault="00391B4B">
      <w:pPr>
        <w:spacing w:after="0" w:line="480" w:lineRule="auto"/>
        <w:rPr>
          <w:rFonts w:ascii="Times New Roman" w:eastAsia="Times New Roman" w:hAnsi="Times New Roman" w:cs="Times New Roman"/>
          <w:sz w:val="24"/>
          <w:szCs w:val="24"/>
        </w:rPr>
      </w:pPr>
    </w:p>
    <w:p w14:paraId="26FE1ACF"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Eco-friendliness perceptions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predicted, participants perceived the product with the visually simple design as more eco-friendly than the product with the complex package design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4.58,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1.34 vs.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5.56,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.99;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203) = 35.58,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Cohen’s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 .83). </w:t>
      </w:r>
    </w:p>
    <w:p w14:paraId="7D574F29" w14:textId="77777777" w:rsidR="00391B4B" w:rsidRDefault="00391B4B">
      <w:pPr>
        <w:spacing w:after="0" w:line="480" w:lineRule="auto"/>
        <w:rPr>
          <w:rFonts w:ascii="Times New Roman" w:eastAsia="Times New Roman" w:hAnsi="Times New Roman" w:cs="Times New Roman"/>
          <w:sz w:val="24"/>
          <w:szCs w:val="24"/>
        </w:rPr>
      </w:pPr>
    </w:p>
    <w:p w14:paraId="1984E18A" w14:textId="488AEE68"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Mediation analysis</w:t>
      </w:r>
      <w:r>
        <w:rPr>
          <w:rFonts w:ascii="Times New Roman" w:eastAsia="Times New Roman" w:hAnsi="Times New Roman" w:cs="Times New Roman"/>
          <w:sz w:val="24"/>
          <w:szCs w:val="24"/>
        </w:rPr>
        <w:t xml:space="preserve"> We conducted a bootstrapping </w:t>
      </w:r>
      <w:r w:rsidR="000628B7">
        <w:rPr>
          <w:rFonts w:ascii="Times New Roman" w:eastAsia="Times New Roman" w:hAnsi="Times New Roman" w:cs="Times New Roman"/>
          <w:sz w:val="24"/>
          <w:szCs w:val="24"/>
        </w:rPr>
        <w:t xml:space="preserve">serial </w:t>
      </w:r>
      <w:r>
        <w:rPr>
          <w:rFonts w:ascii="Times New Roman" w:eastAsia="Times New Roman" w:hAnsi="Times New Roman" w:cs="Times New Roman"/>
          <w:sz w:val="24"/>
          <w:szCs w:val="24"/>
        </w:rPr>
        <w:t xml:space="preserve">mediation analysis using PROCESS Model 6 (Hayes 2023) with design (simple vs. complex) as the independent variable, tangible resource use as the first mediator, eco-friendliness perceptions as the second mediator, and purchase intention as the dependent variable. The serial mediation effect was marginally significant (b = </w:t>
      </w:r>
      <w:r w:rsidR="00B77A4D">
        <w:rPr>
          <w:rFonts w:ascii="Times New Roman" w:eastAsia="Times New Roman" w:hAnsi="Times New Roman" w:cs="Times New Roman"/>
          <w:sz w:val="24"/>
          <w:szCs w:val="24"/>
        </w:rPr>
        <w:t>-</w:t>
      </w:r>
      <w:r>
        <w:rPr>
          <w:rFonts w:ascii="Times New Roman" w:eastAsia="Times New Roman" w:hAnsi="Times New Roman" w:cs="Times New Roman"/>
          <w:sz w:val="24"/>
          <w:szCs w:val="24"/>
        </w:rPr>
        <w:t>.07, 90% CI: [</w:t>
      </w:r>
      <w:r w:rsidR="00B77A4D">
        <w:rPr>
          <w:rFonts w:ascii="Times New Roman" w:eastAsia="Times New Roman" w:hAnsi="Times New Roman" w:cs="Times New Roman"/>
          <w:sz w:val="24"/>
          <w:szCs w:val="24"/>
        </w:rPr>
        <w:t>-.16</w:t>
      </w:r>
      <w:r>
        <w:rPr>
          <w:rFonts w:ascii="Times New Roman" w:eastAsia="Times New Roman" w:hAnsi="Times New Roman" w:cs="Times New Roman"/>
          <w:sz w:val="24"/>
          <w:szCs w:val="24"/>
        </w:rPr>
        <w:t xml:space="preserve"> to </w:t>
      </w:r>
      <w:r w:rsidR="00B77A4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B77A4D">
        <w:rPr>
          <w:rFonts w:ascii="Times New Roman" w:eastAsia="Times New Roman" w:hAnsi="Times New Roman" w:cs="Times New Roman"/>
          <w:sz w:val="24"/>
          <w:szCs w:val="24"/>
        </w:rPr>
        <w:t>004</w:t>
      </w:r>
      <w:r>
        <w:rPr>
          <w:rFonts w:ascii="Times New Roman" w:eastAsia="Times New Roman" w:hAnsi="Times New Roman" w:cs="Times New Roman"/>
          <w:sz w:val="24"/>
          <w:szCs w:val="24"/>
        </w:rPr>
        <w:t xml:space="preserve">]), supporting our prediction. </w:t>
      </w:r>
      <w:r w:rsidR="00824C0C">
        <w:rPr>
          <w:rFonts w:ascii="Times New Roman" w:eastAsia="Times New Roman" w:hAnsi="Times New Roman" w:cs="Times New Roman"/>
          <w:sz w:val="24"/>
          <w:szCs w:val="24"/>
        </w:rPr>
        <w:t xml:space="preserve">Similar to Study 3a, we </w:t>
      </w:r>
      <w:r w:rsidR="002D4032">
        <w:rPr>
          <w:rFonts w:ascii="Times New Roman" w:eastAsia="Times New Roman" w:hAnsi="Times New Roman" w:cs="Times New Roman"/>
          <w:sz w:val="24"/>
          <w:szCs w:val="24"/>
        </w:rPr>
        <w:t xml:space="preserve">also </w:t>
      </w:r>
      <w:r w:rsidR="00824C0C">
        <w:rPr>
          <w:rFonts w:ascii="Times New Roman" w:eastAsia="Times New Roman" w:hAnsi="Times New Roman" w:cs="Times New Roman"/>
          <w:sz w:val="24"/>
          <w:szCs w:val="24"/>
        </w:rPr>
        <w:t xml:space="preserve">conducted </w:t>
      </w:r>
      <w:r w:rsidR="002D4032">
        <w:rPr>
          <w:rFonts w:ascii="Times New Roman" w:eastAsia="Times New Roman" w:hAnsi="Times New Roman" w:cs="Times New Roman"/>
          <w:sz w:val="24"/>
          <w:szCs w:val="24"/>
        </w:rPr>
        <w:t>a simple mediation</w:t>
      </w:r>
      <w:r w:rsidR="00824C0C">
        <w:rPr>
          <w:rFonts w:ascii="Times New Roman" w:eastAsia="Times New Roman" w:hAnsi="Times New Roman" w:cs="Times New Roman"/>
          <w:sz w:val="24"/>
          <w:szCs w:val="24"/>
        </w:rPr>
        <w:t xml:space="preserve"> analys</w:t>
      </w:r>
      <w:r w:rsidR="000628B7">
        <w:rPr>
          <w:rFonts w:ascii="Times New Roman" w:eastAsia="Times New Roman" w:hAnsi="Times New Roman" w:cs="Times New Roman"/>
          <w:sz w:val="24"/>
          <w:szCs w:val="24"/>
        </w:rPr>
        <w:t>i</w:t>
      </w:r>
      <w:r w:rsidR="00824C0C">
        <w:rPr>
          <w:rFonts w:ascii="Times New Roman" w:eastAsia="Times New Roman" w:hAnsi="Times New Roman" w:cs="Times New Roman"/>
          <w:sz w:val="24"/>
          <w:szCs w:val="24"/>
        </w:rPr>
        <w:t xml:space="preserve">s </w:t>
      </w:r>
      <w:r w:rsidR="002D4032">
        <w:rPr>
          <w:rFonts w:ascii="Times New Roman" w:eastAsia="Times New Roman" w:hAnsi="Times New Roman" w:cs="Times New Roman"/>
          <w:sz w:val="24"/>
          <w:szCs w:val="24"/>
        </w:rPr>
        <w:t>including only the manufacturing resources mediator and purchase intent DV, as a robustness check. This analysis was significant (b = -.10, 95% CI: [-.22 to -.01]), suggesting the pattern is robust and does not hinge on any single model specification.</w:t>
      </w:r>
    </w:p>
    <w:p w14:paraId="19CD3889" w14:textId="77777777" w:rsidR="00391B4B" w:rsidRDefault="00391B4B">
      <w:pPr>
        <w:spacing w:after="0" w:line="480" w:lineRule="auto"/>
        <w:rPr>
          <w:rFonts w:ascii="Times New Roman" w:eastAsia="Times New Roman" w:hAnsi="Times New Roman" w:cs="Times New Roman"/>
          <w:b/>
          <w:sz w:val="24"/>
          <w:szCs w:val="24"/>
        </w:rPr>
      </w:pPr>
    </w:p>
    <w:p w14:paraId="70FEAB98"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Alternative Explanations: Studies 3a and 3b</w:t>
      </w:r>
    </w:p>
    <w:p w14:paraId="7509DF86" w14:textId="77777777" w:rsidR="00391B4B" w:rsidRDefault="00391B4B">
      <w:pPr>
        <w:spacing w:after="0" w:line="480" w:lineRule="auto"/>
        <w:rPr>
          <w:rFonts w:ascii="Times New Roman" w:eastAsia="Times New Roman" w:hAnsi="Times New Roman" w:cs="Times New Roman"/>
          <w:b/>
          <w:sz w:val="24"/>
          <w:szCs w:val="24"/>
        </w:rPr>
      </w:pPr>
    </w:p>
    <w:p w14:paraId="73120052" w14:textId="7709F516" w:rsidR="002D4032"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Conceptual </w:t>
      </w:r>
      <w:r w:rsidR="00106E95">
        <w:rPr>
          <w:rFonts w:ascii="Times New Roman" w:eastAsia="Times New Roman" w:hAnsi="Times New Roman" w:cs="Times New Roman"/>
          <w:b/>
          <w:sz w:val="24"/>
          <w:szCs w:val="24"/>
        </w:rPr>
        <w:t xml:space="preserve">and Perceptual </w:t>
      </w:r>
      <w:r>
        <w:rPr>
          <w:rFonts w:ascii="Times New Roman" w:eastAsia="Times New Roman" w:hAnsi="Times New Roman" w:cs="Times New Roman"/>
          <w:b/>
          <w:sz w:val="24"/>
          <w:szCs w:val="24"/>
        </w:rPr>
        <w:t>Fluency</w:t>
      </w:r>
      <w:r w:rsidR="002D4032">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 conceptual fluency </w:t>
      </w:r>
      <w:r w:rsidR="002D4032">
        <w:rPr>
          <w:rFonts w:ascii="Times New Roman" w:eastAsia="Times New Roman" w:hAnsi="Times New Roman" w:cs="Times New Roman"/>
          <w:sz w:val="24"/>
          <w:szCs w:val="24"/>
        </w:rPr>
        <w:t xml:space="preserve">alternative </w:t>
      </w:r>
      <w:r>
        <w:rPr>
          <w:rFonts w:ascii="Times New Roman" w:eastAsia="Times New Roman" w:hAnsi="Times New Roman" w:cs="Times New Roman"/>
          <w:sz w:val="24"/>
          <w:szCs w:val="24"/>
        </w:rPr>
        <w:t>account would predict that a complex design feels more fluent (i.e., cognitively easy to process) under an efficacy criterion, while a simple design feels more fluent under an eco-friendliness criterion. Contrary to this prediction, package design did not influence fluency in either Study 3a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202) = .811,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.369) or Study 3b </w:t>
      </w:r>
      <w:r w:rsidR="000628B7">
        <w:rPr>
          <w:rFonts w:ascii="Times New Roman" w:eastAsia="Times New Roman" w:hAnsi="Times New Roman" w:cs="Times New Roman"/>
          <w:sz w:val="24"/>
          <w:szCs w:val="24"/>
        </w:rPr>
        <w:t>(</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203) = .075,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.784). </w:t>
      </w:r>
    </w:p>
    <w:p w14:paraId="003AC293" w14:textId="0EC37E9D" w:rsidR="00BF35C4" w:rsidRDefault="002D4032" w:rsidP="002D403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also tested a perceptual fluency account in a follow-up study </w:t>
      </w:r>
      <w:r w:rsidRPr="00720BF7">
        <w:rPr>
          <w:rFonts w:ascii="Times New Roman" w:eastAsia="Times New Roman" w:hAnsi="Times New Roman" w:cs="Times New Roman"/>
          <w:sz w:val="24"/>
          <w:szCs w:val="24"/>
        </w:rPr>
        <w:t xml:space="preserve">reported in web appendix </w:t>
      </w:r>
      <w:r w:rsidR="003E6DCD" w:rsidRPr="00720BF7">
        <w:rPr>
          <w:rFonts w:ascii="Times New Roman" w:eastAsia="Times New Roman" w:hAnsi="Times New Roman" w:cs="Times New Roman"/>
          <w:sz w:val="24"/>
          <w:szCs w:val="24"/>
        </w:rPr>
        <w:t>F</w:t>
      </w:r>
      <w:r w:rsidRPr="00720BF7">
        <w:rPr>
          <w:rFonts w:ascii="Times New Roman" w:eastAsia="Times New Roman" w:hAnsi="Times New Roman" w:cs="Times New Roman"/>
          <w:sz w:val="24"/>
          <w:szCs w:val="24"/>
        </w:rPr>
        <w:t xml:space="preserve">. </w:t>
      </w:r>
      <w:r w:rsidR="00BF35C4" w:rsidRPr="00720BF7">
        <w:rPr>
          <w:rFonts w:ascii="Times New Roman" w:eastAsia="Times New Roman" w:hAnsi="Times New Roman" w:cs="Times New Roman"/>
          <w:sz w:val="24"/>
          <w:szCs w:val="24"/>
        </w:rPr>
        <w:t xml:space="preserve">A perceptual fluency account would </w:t>
      </w:r>
      <w:r w:rsidR="003E6DCD" w:rsidRPr="00720BF7">
        <w:rPr>
          <w:rFonts w:ascii="Times New Roman" w:eastAsia="Times New Roman" w:hAnsi="Times New Roman" w:cs="Times New Roman"/>
          <w:sz w:val="24"/>
          <w:szCs w:val="24"/>
        </w:rPr>
        <w:t>likewise</w:t>
      </w:r>
      <w:r w:rsidR="00BF35C4" w:rsidRPr="00720BF7">
        <w:rPr>
          <w:rFonts w:ascii="Times New Roman" w:eastAsia="Times New Roman" w:hAnsi="Times New Roman" w:cs="Times New Roman"/>
          <w:sz w:val="24"/>
          <w:szCs w:val="24"/>
        </w:rPr>
        <w:t xml:space="preserve"> predict a visual complexity </w:t>
      </w:r>
      <w:r w:rsidR="003E6DCD" w:rsidRPr="00720BF7">
        <w:rPr>
          <w:rFonts w:ascii="Times New Roman" w:eastAsia="Times New Roman" w:hAnsi="Times New Roman" w:cs="Times New Roman"/>
          <w:sz w:val="24"/>
          <w:szCs w:val="24"/>
        </w:rPr>
        <w:t>×</w:t>
      </w:r>
      <w:r w:rsidRPr="00720BF7">
        <w:rPr>
          <w:rFonts w:ascii="Times New Roman" w:eastAsia="Times New Roman" w:hAnsi="Times New Roman" w:cs="Times New Roman"/>
          <w:sz w:val="24"/>
          <w:szCs w:val="24"/>
        </w:rPr>
        <w:t xml:space="preserve"> </w:t>
      </w:r>
      <w:r w:rsidR="00BF35C4" w:rsidRPr="00720BF7">
        <w:rPr>
          <w:rFonts w:ascii="Times New Roman" w:eastAsia="Times New Roman" w:hAnsi="Times New Roman" w:cs="Times New Roman"/>
          <w:sz w:val="24"/>
          <w:szCs w:val="24"/>
        </w:rPr>
        <w:t>evaluation criterion interaction, such that complex</w:t>
      </w:r>
      <w:r w:rsidR="003E6DCD">
        <w:rPr>
          <w:rFonts w:ascii="Times New Roman" w:eastAsia="Times New Roman" w:hAnsi="Times New Roman" w:cs="Times New Roman"/>
          <w:sz w:val="24"/>
          <w:szCs w:val="24"/>
        </w:rPr>
        <w:t xml:space="preserve"> designs</w:t>
      </w:r>
      <w:r w:rsidR="00BF35C4">
        <w:rPr>
          <w:rFonts w:ascii="Times New Roman" w:eastAsia="Times New Roman" w:hAnsi="Times New Roman" w:cs="Times New Roman"/>
          <w:sz w:val="24"/>
          <w:szCs w:val="24"/>
        </w:rPr>
        <w:t xml:space="preserve"> feel more fluent under an efficacy criterion and simpl</w:t>
      </w:r>
      <w:r w:rsidR="003E6DCD">
        <w:rPr>
          <w:rFonts w:ascii="Times New Roman" w:eastAsia="Times New Roman" w:hAnsi="Times New Roman" w:cs="Times New Roman"/>
          <w:sz w:val="24"/>
          <w:szCs w:val="24"/>
        </w:rPr>
        <w:t>e designs</w:t>
      </w:r>
      <w:r w:rsidR="00BF35C4">
        <w:rPr>
          <w:rFonts w:ascii="Times New Roman" w:eastAsia="Times New Roman" w:hAnsi="Times New Roman" w:cs="Times New Roman"/>
          <w:sz w:val="24"/>
          <w:szCs w:val="24"/>
        </w:rPr>
        <w:t xml:space="preserve"> feel more fluent under an eco-friendliness criterion. Contrary to this prediction, a follow-up study with roughly 1.5</w:t>
      </w:r>
      <w:r w:rsidR="003E6DCD">
        <w:rPr>
          <w:rFonts w:ascii="Times New Roman" w:eastAsia="Times New Roman" w:hAnsi="Times New Roman" w:cs="Times New Roman"/>
          <w:sz w:val="24"/>
          <w:szCs w:val="24"/>
        </w:rPr>
        <w:t xml:space="preserve"> times</w:t>
      </w:r>
      <w:r w:rsidR="00BF35C4">
        <w:rPr>
          <w:rFonts w:ascii="Times New Roman" w:eastAsia="Times New Roman" w:hAnsi="Times New Roman" w:cs="Times New Roman"/>
          <w:sz w:val="24"/>
          <w:szCs w:val="24"/>
        </w:rPr>
        <w:t xml:space="preserve"> the sample of studies 3a and 3b (N = 301), using perceptual fluency measures adapted from </w:t>
      </w:r>
      <w:r w:rsidR="003E6DCD">
        <w:rPr>
          <w:rFonts w:ascii="Times New Roman" w:eastAsia="Times New Roman" w:hAnsi="Times New Roman" w:cs="Times New Roman"/>
          <w:sz w:val="24"/>
          <w:szCs w:val="24"/>
        </w:rPr>
        <w:t>prior work</w:t>
      </w:r>
      <w:r w:rsidR="00BF35C4">
        <w:rPr>
          <w:rFonts w:ascii="Times New Roman" w:eastAsia="Times New Roman" w:hAnsi="Times New Roman" w:cs="Times New Roman"/>
          <w:sz w:val="24"/>
          <w:szCs w:val="24"/>
        </w:rPr>
        <w:t xml:space="preserve"> (</w:t>
      </w:r>
      <w:r w:rsidR="00BF35C4" w:rsidRPr="00BF35C4">
        <w:rPr>
          <w:rFonts w:ascii="Times New Roman" w:eastAsia="Times New Roman" w:hAnsi="Times New Roman" w:cs="Times New Roman"/>
          <w:sz w:val="24"/>
          <w:szCs w:val="24"/>
        </w:rPr>
        <w:t>Graf, Mayer, and Landwehr 2018</w:t>
      </w:r>
      <w:r w:rsidR="00BF35C4">
        <w:rPr>
          <w:rFonts w:ascii="Times New Roman" w:eastAsia="Times New Roman" w:hAnsi="Times New Roman" w:cs="Times New Roman"/>
          <w:sz w:val="24"/>
          <w:szCs w:val="24"/>
        </w:rPr>
        <w:t xml:space="preserve">), </w:t>
      </w:r>
      <w:r w:rsidR="00BF35C4">
        <w:rPr>
          <w:rFonts w:ascii="Times New Roman" w:eastAsia="Times New Roman" w:hAnsi="Times New Roman" w:cs="Times New Roman"/>
          <w:sz w:val="24"/>
          <w:szCs w:val="24"/>
        </w:rPr>
        <w:lastRenderedPageBreak/>
        <w:t xml:space="preserve">revealed a nonsignificant interaction effect (F(1, 297) = .28, p = .60), casting doubt on a perceptual fluency </w:t>
      </w:r>
      <w:r w:rsidR="003E6DCD">
        <w:rPr>
          <w:rFonts w:ascii="Times New Roman" w:eastAsia="Times New Roman" w:hAnsi="Times New Roman" w:cs="Times New Roman"/>
          <w:sz w:val="24"/>
          <w:szCs w:val="24"/>
        </w:rPr>
        <w:t>explanation</w:t>
      </w:r>
      <w:r w:rsidR="00BF35C4">
        <w:rPr>
          <w:rFonts w:ascii="Times New Roman" w:eastAsia="Times New Roman" w:hAnsi="Times New Roman" w:cs="Times New Roman"/>
          <w:sz w:val="24"/>
          <w:szCs w:val="24"/>
        </w:rPr>
        <w:t xml:space="preserve">. </w:t>
      </w:r>
    </w:p>
    <w:p w14:paraId="16D11AE2" w14:textId="53CA1E52" w:rsidR="00391B4B" w:rsidRDefault="006E2B95" w:rsidP="003F0243">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also not clear why highlighting different evaluation criteria would make simple vs. complex designs more or less fluent to process </w:t>
      </w:r>
      <w:r w:rsidR="003E6DCD">
        <w:rPr>
          <w:rFonts w:ascii="Times New Roman" w:eastAsia="Times New Roman" w:hAnsi="Times New Roman" w:cs="Times New Roman"/>
          <w:sz w:val="24"/>
          <w:szCs w:val="24"/>
        </w:rPr>
        <w:t xml:space="preserve">or perceive </w:t>
      </w:r>
      <w:r>
        <w:rPr>
          <w:rFonts w:ascii="Times New Roman" w:eastAsia="Times New Roman" w:hAnsi="Times New Roman" w:cs="Times New Roman"/>
          <w:sz w:val="24"/>
          <w:szCs w:val="24"/>
        </w:rPr>
        <w:t xml:space="preserve">in the first place – absent a clear cognitive lay theory underlying such an effect (Schwarz 2004). Moreover, a fluency account struggles to explain why visual complexity influences perceptions of manufacturing resources, both here and in Studies 4a and 4b that follow. </w:t>
      </w:r>
    </w:p>
    <w:p w14:paraId="6F0105AC" w14:textId="46B72105" w:rsidR="00391B4B" w:rsidRDefault="00391B4B">
      <w:pPr>
        <w:spacing w:after="0" w:line="480" w:lineRule="auto"/>
        <w:rPr>
          <w:rFonts w:ascii="Times New Roman" w:eastAsia="Times New Roman" w:hAnsi="Times New Roman" w:cs="Times New Roman"/>
          <w:sz w:val="24"/>
          <w:szCs w:val="24"/>
        </w:rPr>
      </w:pPr>
    </w:p>
    <w:p w14:paraId="154392D2"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Aesthetic Appeal</w:t>
      </w:r>
      <w:r>
        <w:rPr>
          <w:rFonts w:ascii="Times New Roman" w:eastAsia="Times New Roman" w:hAnsi="Times New Roman" w:cs="Times New Roman"/>
          <w:sz w:val="24"/>
          <w:szCs w:val="24"/>
        </w:rPr>
        <w:t xml:space="preserve"> Note that simple and complex designs are not inherently more or less aesthetically appealing; aesthetically strong or weak designs can occur at either level of complexity. A generalizable aesthetic appeal alternative account would predict that consumers perceive the complex product as more aesthetic under the efficacy evaluation criterion (in Study 3a) – thereby increasing purchase intent – but perceive the simple product as more aesthetic under the eco-friendliness criterion (in Study 3b), likewise boosting purchase intent.</w:t>
      </w:r>
    </w:p>
    <w:p w14:paraId="5C643504"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Contrary to this prediction, participants perceived the complex design as more aesthetically appealing than the simple design in both Study </w:t>
      </w:r>
      <w:proofErr w:type="spellStart"/>
      <w:r>
        <w:rPr>
          <w:rFonts w:ascii="Times New Roman" w:eastAsia="Times New Roman" w:hAnsi="Times New Roman" w:cs="Times New Roman"/>
          <w:sz w:val="24"/>
          <w:szCs w:val="24"/>
        </w:rPr>
        <w:t>3a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5.53,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1.47 vs.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4.18,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1.72;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202) = 36.81,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Cohen’s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 .85) and Study </w:t>
      </w:r>
      <w:proofErr w:type="spellStart"/>
      <w:r>
        <w:rPr>
          <w:rFonts w:ascii="Times New Roman" w:eastAsia="Times New Roman" w:hAnsi="Times New Roman" w:cs="Times New Roman"/>
          <w:sz w:val="24"/>
          <w:szCs w:val="24"/>
        </w:rPr>
        <w:t>3b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5.47,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complex</w:t>
      </w:r>
      <w:proofErr w:type="spellEnd"/>
      <w:r>
        <w:rPr>
          <w:rFonts w:ascii="Times New Roman" w:eastAsia="Times New Roman" w:hAnsi="Times New Roman" w:cs="Times New Roman"/>
          <w:sz w:val="24"/>
          <w:szCs w:val="24"/>
        </w:rPr>
        <w:t xml:space="preserve"> = 1.40 vs. </w:t>
      </w:r>
      <w:proofErr w:type="spellStart"/>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4.49, </w:t>
      </w:r>
      <w:proofErr w:type="spellStart"/>
      <w:r>
        <w:rPr>
          <w:rFonts w:ascii="Times New Roman" w:eastAsia="Times New Roman" w:hAnsi="Times New Roman" w:cs="Times New Roman"/>
          <w:i/>
          <w:sz w:val="24"/>
          <w:szCs w:val="24"/>
        </w:rPr>
        <w:t>SD</w:t>
      </w:r>
      <w:r>
        <w:rPr>
          <w:rFonts w:ascii="Times New Roman" w:eastAsia="Times New Roman" w:hAnsi="Times New Roman" w:cs="Times New Roman"/>
          <w:sz w:val="24"/>
          <w:szCs w:val="24"/>
          <w:vertAlign w:val="subscript"/>
        </w:rPr>
        <w:t>simple</w:t>
      </w:r>
      <w:proofErr w:type="spellEnd"/>
      <w:r>
        <w:rPr>
          <w:rFonts w:ascii="Times New Roman" w:eastAsia="Times New Roman" w:hAnsi="Times New Roman" w:cs="Times New Roman"/>
          <w:sz w:val="24"/>
          <w:szCs w:val="24"/>
        </w:rPr>
        <w:t xml:space="preserve"> = 1.78;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203) = 19.01,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Cohen’s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 .61). Further, aesthetic appeal was highly correlated with purchase intention both in Study 3a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 .517,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and Study 3b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 .292,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Because design complexity had opposite effects on purchase intent in Study 3a versus Study 3b, it cannot logically account for the observed pattern. If aesthetic appeal – as distinct from design complexity – were driving the effect, we would expect the pattern to reverse in Study 3b under the eco-friendly criterion – </w:t>
      </w:r>
      <w:r>
        <w:rPr>
          <w:rFonts w:ascii="Times New Roman" w:eastAsia="Times New Roman" w:hAnsi="Times New Roman" w:cs="Times New Roman"/>
          <w:sz w:val="24"/>
          <w:szCs w:val="24"/>
        </w:rPr>
        <w:lastRenderedPageBreak/>
        <w:t xml:space="preserve">which it did not. We conclude that aesthetic appeal is a spurious perception of the specific stimuli used in this study – the complex version happened to be more aesthetically appealing than the simple one – but this does not account for the reversal of the effect across different evaluation criteria, nor does it generalize to other stimuli where the simple design happens to be more aesthetically pleasing than the complex one. </w:t>
      </w:r>
    </w:p>
    <w:p w14:paraId="2C5F198A" w14:textId="77777777" w:rsidR="00866334" w:rsidRDefault="00866334" w:rsidP="00866334">
      <w:pPr>
        <w:spacing w:after="0" w:line="480" w:lineRule="auto"/>
        <w:ind w:firstLine="720"/>
        <w:rPr>
          <w:rFonts w:ascii="Times New Roman" w:eastAsia="Times New Roman" w:hAnsi="Times New Roman" w:cs="Times New Roman"/>
          <w:sz w:val="24"/>
          <w:szCs w:val="24"/>
        </w:rPr>
      </w:pPr>
    </w:p>
    <w:p w14:paraId="57639554" w14:textId="77777777" w:rsidR="00866334" w:rsidRDefault="00866334" w:rsidP="0086633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2649B52" w14:textId="0835BE5A" w:rsidR="00866334" w:rsidRDefault="00866334" w:rsidP="0086633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Insert figure 2b about here</w:t>
      </w:r>
    </w:p>
    <w:p w14:paraId="08A77089" w14:textId="77777777" w:rsidR="00866334" w:rsidRDefault="00866334" w:rsidP="00866334">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EB054DB" w14:textId="74516C55" w:rsidR="00E62041" w:rsidRDefault="00E62041">
      <w:pPr>
        <w:spacing w:after="0" w:line="480" w:lineRule="auto"/>
        <w:rPr>
          <w:rFonts w:ascii="Times New Roman" w:eastAsia="Times New Roman" w:hAnsi="Times New Roman" w:cs="Times New Roman"/>
          <w:b/>
          <w:sz w:val="24"/>
          <w:szCs w:val="24"/>
        </w:rPr>
      </w:pPr>
    </w:p>
    <w:p w14:paraId="4DB44666"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 Studies 3a and 3b</w:t>
      </w:r>
    </w:p>
    <w:p w14:paraId="17FDA607" w14:textId="77777777" w:rsidR="00391B4B" w:rsidRDefault="00391B4B">
      <w:pPr>
        <w:spacing w:after="0" w:line="480" w:lineRule="auto"/>
        <w:rPr>
          <w:rFonts w:ascii="Times New Roman" w:eastAsia="Times New Roman" w:hAnsi="Times New Roman" w:cs="Times New Roman"/>
          <w:b/>
          <w:sz w:val="24"/>
          <w:szCs w:val="24"/>
        </w:rPr>
      </w:pPr>
    </w:p>
    <w:p w14:paraId="78D70E64" w14:textId="30396E8B"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Studies 3a and 3b support our hypothesized process by demonstrating that visually complex vs. simple designs can influence perceptions of efficacy and eco-friendliness by increasing vs. decreasing perceptions of tangible production resource usage, respectively. Consequently, visually complex vs. simple designs can increase purchase intentions when consumers have an efficacy vs. eco-friendliness evaluation criterion.</w:t>
      </w:r>
    </w:p>
    <w:p w14:paraId="6D5006D7" w14:textId="26528D1C"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Studies 3a and 3b provide evidence that is inconsistent with conceptual fluency and aesthetic appeal alternative accounts. A conceptual replication of both studies, reported in web appendix F, rules out additional alternative accounts based on perceived intangible resources, luxury, prestige, expensiveness, and budget/store brand.</w:t>
      </w:r>
      <w:r w:rsidR="003E6DCD" w:rsidRPr="003E6DCD">
        <w:rPr>
          <w:rFonts w:ascii="Times New Roman" w:eastAsia="Times New Roman" w:hAnsi="Times New Roman" w:cs="Times New Roman"/>
          <w:sz w:val="24"/>
          <w:szCs w:val="24"/>
        </w:rPr>
        <w:t xml:space="preserve"> </w:t>
      </w:r>
      <w:r w:rsidR="003E6DCD">
        <w:rPr>
          <w:rFonts w:ascii="Times New Roman" w:eastAsia="Times New Roman" w:hAnsi="Times New Roman" w:cs="Times New Roman"/>
          <w:sz w:val="24"/>
          <w:szCs w:val="24"/>
        </w:rPr>
        <w:t>An additional follow-up study casts doubt on a perceptual fluency account.</w:t>
      </w:r>
    </w:p>
    <w:p w14:paraId="32235154" w14:textId="77777777" w:rsidR="00391B4B" w:rsidRDefault="00391B4B">
      <w:pPr>
        <w:spacing w:after="0" w:line="480" w:lineRule="auto"/>
        <w:rPr>
          <w:rFonts w:ascii="Times New Roman" w:eastAsia="Times New Roman" w:hAnsi="Times New Roman" w:cs="Times New Roman"/>
          <w:sz w:val="24"/>
          <w:szCs w:val="24"/>
        </w:rPr>
      </w:pPr>
    </w:p>
    <w:p w14:paraId="0FF3DAA9" w14:textId="77777777" w:rsidR="00391B4B" w:rsidRDefault="006E2B95">
      <w:pPr>
        <w:spacing w:after="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Studies 4a and 4b: The moderating role of lay theories </w:t>
      </w:r>
    </w:p>
    <w:p w14:paraId="19184264" w14:textId="77777777" w:rsidR="00391B4B" w:rsidRDefault="00391B4B">
      <w:pPr>
        <w:spacing w:after="0" w:line="480" w:lineRule="auto"/>
        <w:jc w:val="center"/>
        <w:rPr>
          <w:rFonts w:ascii="Times New Roman" w:eastAsia="Times New Roman" w:hAnsi="Times New Roman" w:cs="Times New Roman"/>
          <w:b/>
          <w:sz w:val="24"/>
          <w:szCs w:val="24"/>
        </w:rPr>
      </w:pPr>
    </w:p>
    <w:p w14:paraId="52B7A442"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4a and 4b test the effect of design complexity on product inferences using a moderation approach. We have argued that visual complexity (vs. simplicity) influences perceptions of efficacy and eco-friendliness because consumers hold a lay theory according to which visual complexity indicates the amount of tangible manufacturing resources used to make the product. If our theorizing is correct, these effects should be moderated by individual differences in the extent to which consumers hold this lay theory. </w:t>
      </w:r>
    </w:p>
    <w:p w14:paraId="4155C08C" w14:textId="77777777" w:rsidR="003E6DCD" w:rsidRPr="003E6DCD" w:rsidRDefault="003E6DCD">
      <w:pPr>
        <w:spacing w:after="0" w:line="480" w:lineRule="auto"/>
        <w:rPr>
          <w:rFonts w:ascii="Times New Roman" w:eastAsia="Times New Roman" w:hAnsi="Times New Roman" w:cs="Times New Roman"/>
          <w:b/>
          <w:sz w:val="24"/>
          <w:szCs w:val="24"/>
        </w:rPr>
      </w:pPr>
    </w:p>
    <w:p w14:paraId="19274D9F" w14:textId="532158BA" w:rsidR="00391B4B" w:rsidRDefault="006E2B95">
      <w:pPr>
        <w:spacing w:after="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Study 4a: lay theories under an efficacy criterion</w:t>
      </w:r>
    </w:p>
    <w:p w14:paraId="13D99093" w14:textId="77777777" w:rsidR="00391B4B" w:rsidRDefault="00391B4B">
      <w:pPr>
        <w:spacing w:after="0" w:line="480" w:lineRule="auto"/>
        <w:jc w:val="center"/>
        <w:rPr>
          <w:rFonts w:ascii="Times New Roman" w:eastAsia="Times New Roman" w:hAnsi="Times New Roman" w:cs="Times New Roman"/>
          <w:b/>
          <w:sz w:val="24"/>
          <w:szCs w:val="24"/>
        </w:rPr>
      </w:pPr>
    </w:p>
    <w:p w14:paraId="1C8C19A4"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45C071EF" w14:textId="77777777" w:rsidR="00391B4B" w:rsidRDefault="00391B4B">
      <w:pPr>
        <w:spacing w:after="0" w:line="480" w:lineRule="auto"/>
        <w:rPr>
          <w:rFonts w:ascii="Times New Roman" w:eastAsia="Times New Roman" w:hAnsi="Times New Roman" w:cs="Times New Roman"/>
          <w:sz w:val="24"/>
          <w:szCs w:val="24"/>
        </w:rPr>
      </w:pPr>
    </w:p>
    <w:p w14:paraId="02DFB100"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Participants and design</w:t>
      </w:r>
      <w:r>
        <w:rPr>
          <w:rFonts w:ascii="Times New Roman" w:eastAsia="Times New Roman" w:hAnsi="Times New Roman" w:cs="Times New Roman"/>
          <w:sz w:val="24"/>
          <w:szCs w:val="24"/>
        </w:rPr>
        <w:t xml:space="preserve"> Consistent with our preregistration (</w:t>
      </w:r>
      <w:hyperlink r:id="rId15">
        <w:r>
          <w:rPr>
            <w:rFonts w:ascii="Times New Roman" w:eastAsia="Times New Roman" w:hAnsi="Times New Roman" w:cs="Times New Roman"/>
            <w:color w:val="0563C1"/>
            <w:sz w:val="24"/>
            <w:szCs w:val="24"/>
            <w:u w:val="single"/>
          </w:rPr>
          <w:t>https://aspredicted.org/YLT_Q5Y</w:t>
        </w:r>
      </w:hyperlink>
      <w:r>
        <w:rPr>
          <w:rFonts w:ascii="Times New Roman" w:eastAsia="Times New Roman" w:hAnsi="Times New Roman" w:cs="Times New Roman"/>
          <w:sz w:val="24"/>
          <w:szCs w:val="24"/>
        </w:rPr>
        <w:t xml:space="preserve">), we recruited 401 U.S. Prolific participants (44.1% female,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age</w:t>
      </w:r>
      <w:r>
        <w:rPr>
          <w:rFonts w:ascii="Times New Roman" w:eastAsia="Times New Roman" w:hAnsi="Times New Roman" w:cs="Times New Roman"/>
          <w:sz w:val="24"/>
          <w:szCs w:val="24"/>
        </w:rPr>
        <w:t xml:space="preserve"> = 39.43) who passed the attention check and completed the entire study. Participants received a small monetary compensation. This study had a 2 (visual design: complex vs. simple) × lay theory (measured, continuous) mixed design.</w:t>
      </w:r>
    </w:p>
    <w:p w14:paraId="5A95F1F0" w14:textId="77777777" w:rsidR="00391B4B" w:rsidRDefault="00391B4B">
      <w:pPr>
        <w:spacing w:after="0" w:line="480" w:lineRule="auto"/>
        <w:ind w:firstLine="720"/>
        <w:rPr>
          <w:rFonts w:ascii="Times New Roman" w:eastAsia="Times New Roman" w:hAnsi="Times New Roman" w:cs="Times New Roman"/>
          <w:i/>
          <w:sz w:val="24"/>
          <w:szCs w:val="24"/>
        </w:rPr>
      </w:pPr>
    </w:p>
    <w:p w14:paraId="456F7315"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Procedure</w:t>
      </w:r>
      <w:r>
        <w:rPr>
          <w:rFonts w:ascii="Times New Roman" w:eastAsia="Times New Roman" w:hAnsi="Times New Roman" w:cs="Times New Roman"/>
          <w:sz w:val="24"/>
          <w:szCs w:val="24"/>
        </w:rPr>
        <w:t xml:space="preserve"> We told participants we were developing a new product, a facial soap. The package designs were images of the products used in Study 1 (appendix B). We measured efficacy perceptions using the same four items from Study 3a. This inherently made the efficacy evaluation criterion salient (</w:t>
      </w: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 xml:space="preserve"> = .90). </w:t>
      </w:r>
    </w:p>
    <w:p w14:paraId="5F9ED6E0"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Then, we measured our moderator, the extent to which people believe that visual design is indicative of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resources used to manufacture the product. We used eight 7-point items adapted from Madan et al. (2022) (e.g., “you can tell how much resources went into making the product from looking at the simple or complex design of the product package”; see web appendix G for all items; 1 = “strongly disagree” to 7 = “strongly agree”; </w:t>
      </w: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 xml:space="preserve"> = .97, combined to a lay theory index). Higher scores reflect a stronger belief that the amount of visual complexity in a package determines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resources used in the product’s manufacturing. Responses on this index were not significantly influenced by the experimental manipulation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399) = 2.75,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.098). </w:t>
      </w:r>
    </w:p>
    <w:p w14:paraId="6BA63EF1" w14:textId="77777777" w:rsidR="00391B4B" w:rsidRDefault="00391B4B">
      <w:pPr>
        <w:spacing w:after="0" w:line="480" w:lineRule="auto"/>
        <w:ind w:firstLine="720"/>
        <w:rPr>
          <w:rFonts w:ascii="Times New Roman" w:eastAsia="Times New Roman" w:hAnsi="Times New Roman" w:cs="Times New Roman"/>
          <w:sz w:val="24"/>
          <w:szCs w:val="24"/>
        </w:rPr>
      </w:pPr>
    </w:p>
    <w:p w14:paraId="63C98F25"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4685785A" w14:textId="77777777" w:rsidR="00391B4B" w:rsidRDefault="00391B4B">
      <w:pPr>
        <w:spacing w:after="0" w:line="480" w:lineRule="auto"/>
        <w:rPr>
          <w:rFonts w:ascii="Times New Roman" w:eastAsia="Times New Roman" w:hAnsi="Times New Roman" w:cs="Times New Roman"/>
          <w:b/>
          <w:sz w:val="24"/>
          <w:szCs w:val="24"/>
        </w:rPr>
      </w:pPr>
    </w:p>
    <w:p w14:paraId="0966DC7B" w14:textId="1442375A"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visual design (complex vs. simple) × lay theory (continuous, mean-centered) regression analysis revealed a marginal main effect of visual design (ß = .17,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(397) = 1.68,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.093), suggesting that visual complexity increased perceptions of efficacy. There was no main effect of the lay theory about design and resources (ß = -.15,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(397) = -1.41,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.160). The main effect of design was qualified by the predicted visual design × lay theory interaction effect (ß = .17,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(397) = 2.45,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.015; see Figure </w:t>
      </w:r>
      <w:r w:rsidR="0086633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p>
    <w:p w14:paraId="4A250E9C"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predicted, among participants with stronger beliefs in the link between design resources (1 SD above the mean), visual complexity (vs. simplicity) increased perceived efficacy (ß = .42,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(397) = 2.92,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.004). Among participants with weaker beliefs in this lay theory (1 SD below the mean), visual complexity (vs. simplicity) did not influence perceived efficacy (ß = -.077,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(397) = -.54,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.589). The Johnson-Neyman (J-N) point (p &lt; .05) occurred at .12 SD </w:t>
      </w:r>
      <w:r>
        <w:rPr>
          <w:rFonts w:ascii="Times New Roman" w:eastAsia="Times New Roman" w:hAnsi="Times New Roman" w:cs="Times New Roman"/>
          <w:sz w:val="24"/>
          <w:szCs w:val="24"/>
        </w:rPr>
        <w:lastRenderedPageBreak/>
        <w:t>above the mean, demonstrating a mitigation of the proposed effect among those with weaker beliefs in the lay theory.</w:t>
      </w:r>
    </w:p>
    <w:p w14:paraId="0AAE4BCB" w14:textId="77777777" w:rsidR="00391B4B" w:rsidRDefault="00391B4B">
      <w:pPr>
        <w:spacing w:after="0" w:line="480" w:lineRule="auto"/>
        <w:ind w:firstLine="720"/>
        <w:rPr>
          <w:rFonts w:ascii="Times New Roman" w:eastAsia="Times New Roman" w:hAnsi="Times New Roman" w:cs="Times New Roman"/>
          <w:sz w:val="24"/>
          <w:szCs w:val="24"/>
        </w:rPr>
      </w:pPr>
    </w:p>
    <w:p w14:paraId="5B9E6B68" w14:textId="77777777" w:rsidR="00391B4B" w:rsidRDefault="006E2B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78B6B9E" w14:textId="7992F06D" w:rsidR="00391B4B" w:rsidRDefault="006E2B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Insert figure </w:t>
      </w:r>
      <w:r w:rsidR="00866334">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about here</w:t>
      </w:r>
    </w:p>
    <w:p w14:paraId="6AAC6962" w14:textId="77777777" w:rsidR="00391B4B" w:rsidRDefault="006E2B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EBC3B2C" w14:textId="1DAE01A7" w:rsidR="00E62041" w:rsidRDefault="00E62041">
      <w:pPr>
        <w:spacing w:after="0" w:line="480" w:lineRule="auto"/>
        <w:rPr>
          <w:rFonts w:ascii="Times New Roman" w:eastAsia="Times New Roman" w:hAnsi="Times New Roman" w:cs="Times New Roman"/>
          <w:b/>
          <w:sz w:val="28"/>
          <w:szCs w:val="28"/>
        </w:rPr>
      </w:pPr>
    </w:p>
    <w:p w14:paraId="46370B62" w14:textId="77777777" w:rsidR="00391B4B" w:rsidRDefault="006E2B95">
      <w:pPr>
        <w:spacing w:after="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Study 4b: lay theories under an eco-friendliness criterion </w:t>
      </w:r>
    </w:p>
    <w:p w14:paraId="48BC86F1" w14:textId="77777777" w:rsidR="00391B4B" w:rsidRDefault="00391B4B">
      <w:pPr>
        <w:spacing w:after="0" w:line="480" w:lineRule="auto"/>
        <w:jc w:val="center"/>
        <w:rPr>
          <w:rFonts w:ascii="Times New Roman" w:eastAsia="Times New Roman" w:hAnsi="Times New Roman" w:cs="Times New Roman"/>
          <w:b/>
          <w:sz w:val="24"/>
          <w:szCs w:val="24"/>
        </w:rPr>
      </w:pPr>
    </w:p>
    <w:p w14:paraId="0391AB50"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0665D4C9" w14:textId="77777777" w:rsidR="00391B4B" w:rsidRDefault="00391B4B">
      <w:pPr>
        <w:spacing w:after="0" w:line="480" w:lineRule="auto"/>
        <w:rPr>
          <w:rFonts w:ascii="Times New Roman" w:eastAsia="Times New Roman" w:hAnsi="Times New Roman" w:cs="Times New Roman"/>
          <w:sz w:val="24"/>
          <w:szCs w:val="24"/>
        </w:rPr>
      </w:pPr>
    </w:p>
    <w:p w14:paraId="0BA0E9C1"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Participants and design</w:t>
      </w:r>
      <w:r>
        <w:rPr>
          <w:rFonts w:ascii="Times New Roman" w:eastAsia="Times New Roman" w:hAnsi="Times New Roman" w:cs="Times New Roman"/>
          <w:sz w:val="24"/>
          <w:szCs w:val="24"/>
        </w:rPr>
        <w:t xml:space="preserve"> Similar to study 4a, this preregistered study (</w:t>
      </w:r>
      <w:hyperlink r:id="rId16">
        <w:r>
          <w:rPr>
            <w:rFonts w:ascii="Times New Roman" w:eastAsia="Times New Roman" w:hAnsi="Times New Roman" w:cs="Times New Roman"/>
            <w:color w:val="0563C1"/>
            <w:sz w:val="24"/>
            <w:szCs w:val="24"/>
            <w:u w:val="single"/>
          </w:rPr>
          <w:t>https://aspredicted.org/LVC_JW5</w:t>
        </w:r>
      </w:hyperlink>
      <w:r>
        <w:rPr>
          <w:rFonts w:ascii="Times New Roman" w:eastAsia="Times New Roman" w:hAnsi="Times New Roman" w:cs="Times New Roman"/>
          <w:sz w:val="24"/>
          <w:szCs w:val="24"/>
        </w:rPr>
        <w:t xml:space="preserve">) had a 2 (visual design: complex vs. simple) × lay theory (measured, continuous) mixed design. We recruited 393 U.S. Prolific participants (48.3% female,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age</w:t>
      </w:r>
      <w:r>
        <w:rPr>
          <w:rFonts w:ascii="Times New Roman" w:eastAsia="Times New Roman" w:hAnsi="Times New Roman" w:cs="Times New Roman"/>
          <w:sz w:val="24"/>
          <w:szCs w:val="24"/>
        </w:rPr>
        <w:t xml:space="preserve"> = 41.84), excluding those who did not complete the study or failed the attention check, for a small monetary compensation.</w:t>
      </w:r>
    </w:p>
    <w:p w14:paraId="37345693" w14:textId="77777777" w:rsidR="00391B4B" w:rsidRDefault="00391B4B">
      <w:pPr>
        <w:spacing w:after="0" w:line="480" w:lineRule="auto"/>
        <w:ind w:firstLine="720"/>
        <w:rPr>
          <w:rFonts w:ascii="Times New Roman" w:eastAsia="Times New Roman" w:hAnsi="Times New Roman" w:cs="Times New Roman"/>
          <w:i/>
          <w:sz w:val="24"/>
          <w:szCs w:val="24"/>
        </w:rPr>
      </w:pPr>
    </w:p>
    <w:p w14:paraId="6DEA077D"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procedure was similar to that of study 4a, except that we used a different product category to extend the generalizability of our effects: an all-purpose lotion. The visually simple package had a relatively plain, white package, whereas the visually complex package had a detailed abstract pattern (appendix E). We measured eco-friendliness perception using four items adapted from Study 3b (see web appendix G), which inherently activated an eco-friendliness evaluation criterion (</w:t>
      </w: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 xml:space="preserve"> = .90; combined to an index). </w:t>
      </w:r>
    </w:p>
    <w:p w14:paraId="462E2831"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measured the same lay theory as in Study 4a, using the same items (</w:t>
      </w: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 xml:space="preserve"> = .97), where higher scores reflect stronger beliefs that package complexity is indicative of the amount of </w:t>
      </w:r>
      <w:r>
        <w:rPr>
          <w:rFonts w:ascii="Times New Roman" w:eastAsia="Times New Roman" w:hAnsi="Times New Roman" w:cs="Times New Roman"/>
          <w:sz w:val="24"/>
          <w:szCs w:val="24"/>
        </w:rPr>
        <w:lastRenderedPageBreak/>
        <w:t>manufacturing resources used. Responses on this index were not influenced by the experimental manipulation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(1, 391) = .679,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.411). </w:t>
      </w:r>
    </w:p>
    <w:p w14:paraId="73C8BB49" w14:textId="77777777" w:rsidR="00391B4B" w:rsidRDefault="00391B4B">
      <w:pPr>
        <w:spacing w:after="0" w:line="480" w:lineRule="auto"/>
        <w:rPr>
          <w:rFonts w:ascii="Times New Roman" w:eastAsia="Times New Roman" w:hAnsi="Times New Roman" w:cs="Times New Roman"/>
          <w:sz w:val="24"/>
          <w:szCs w:val="24"/>
        </w:rPr>
      </w:pPr>
    </w:p>
    <w:p w14:paraId="76C5D767" w14:textId="77777777" w:rsidR="00E62041" w:rsidRDefault="00E62041">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EE57C3D"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Results</w:t>
      </w:r>
    </w:p>
    <w:p w14:paraId="64DBE056" w14:textId="77777777" w:rsidR="00391B4B" w:rsidRDefault="00391B4B">
      <w:pPr>
        <w:spacing w:after="0" w:line="480" w:lineRule="auto"/>
        <w:rPr>
          <w:rFonts w:ascii="Times New Roman" w:eastAsia="Times New Roman" w:hAnsi="Times New Roman" w:cs="Times New Roman"/>
          <w:sz w:val="24"/>
          <w:szCs w:val="24"/>
        </w:rPr>
      </w:pPr>
    </w:p>
    <w:p w14:paraId="623A3B93" w14:textId="239FCDDC"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visual design (complex vs. simple) × lay theory (continuous, mean-centered) regression analysis revealed a main effect of visual design (ß = -.49,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(389) = -4.40,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suggesting that visual simplicity (i.e., a less complex design) increased perceptions of eco-friendliness. There was a main effect of the lay theory moderator (ß = .584,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(389) = 5.25,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suggesting that those with stronger beliefs in the design and resources connection perceived the product as more eco-friendly regardless of its visual design. These main effects were qualified by the predicted design × lay theory interaction effect (ß = -.23,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(389) = -3.14,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.002; see Figure </w:t>
      </w:r>
      <w:r w:rsidR="00866334">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p>
    <w:p w14:paraId="6F0C6BAA"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predicted, among participants with stronger beliefs in the link between design and resources (1 SD above the mean), visual simplicity (vs. complexity) increased perceived eco-friendliness (ß = -.83,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(389) = -5.34,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There was no effect among participants with a weaker belief in the lay theory (1 SD below the mean) (ß = -.14,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(389) = -.89,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.375). The Johnson-Neyman (J-N) point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.05) occurred at .65 SD below the mean, demonstrating a mitigation of the proposed effect among those with weaker beliefs in the lay theory.</w:t>
      </w:r>
    </w:p>
    <w:p w14:paraId="4A8B3CDD" w14:textId="77777777" w:rsidR="00391B4B" w:rsidRDefault="00391B4B">
      <w:pPr>
        <w:spacing w:after="0" w:line="480" w:lineRule="auto"/>
        <w:ind w:firstLine="720"/>
        <w:rPr>
          <w:rFonts w:ascii="Times New Roman" w:eastAsia="Times New Roman" w:hAnsi="Times New Roman" w:cs="Times New Roman"/>
          <w:sz w:val="24"/>
          <w:szCs w:val="24"/>
        </w:rPr>
      </w:pPr>
    </w:p>
    <w:p w14:paraId="5AAAB789" w14:textId="77777777" w:rsidR="00391B4B" w:rsidRDefault="006E2B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24FE706" w14:textId="44A9382E" w:rsidR="00391B4B" w:rsidRDefault="006E2B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Insert figure </w:t>
      </w:r>
      <w:r w:rsidR="00866334">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about here</w:t>
      </w:r>
    </w:p>
    <w:p w14:paraId="2E5EAC5E" w14:textId="77777777" w:rsidR="00391B4B" w:rsidRDefault="006E2B9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1076E2A" w14:textId="77777777" w:rsidR="00391B4B" w:rsidRDefault="00391B4B">
      <w:pPr>
        <w:spacing w:before="240" w:after="0" w:line="480" w:lineRule="auto"/>
        <w:rPr>
          <w:rFonts w:ascii="Times New Roman" w:eastAsia="Times New Roman" w:hAnsi="Times New Roman" w:cs="Times New Roman"/>
          <w:sz w:val="24"/>
          <w:szCs w:val="24"/>
        </w:rPr>
      </w:pPr>
    </w:p>
    <w:p w14:paraId="1519F6D6"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 Studies 4a and 4b</w:t>
      </w:r>
    </w:p>
    <w:p w14:paraId="201F1E5A" w14:textId="77777777" w:rsidR="00391B4B" w:rsidRDefault="00391B4B">
      <w:pPr>
        <w:spacing w:after="0" w:line="480" w:lineRule="auto"/>
        <w:rPr>
          <w:rFonts w:ascii="Times New Roman" w:eastAsia="Times New Roman" w:hAnsi="Times New Roman" w:cs="Times New Roman"/>
          <w:sz w:val="24"/>
          <w:szCs w:val="24"/>
        </w:rPr>
      </w:pPr>
    </w:p>
    <w:p w14:paraId="64DC20EC"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4a and 4b provide convergent evidence in support of our theorizing. We hypothesized that the effects of package design complexity on perceived product efficacy and </w:t>
      </w:r>
      <w:r>
        <w:rPr>
          <w:rFonts w:ascii="Times New Roman" w:eastAsia="Times New Roman" w:hAnsi="Times New Roman" w:cs="Times New Roman"/>
          <w:sz w:val="24"/>
          <w:szCs w:val="24"/>
        </w:rPr>
        <w:lastRenderedPageBreak/>
        <w:t>eco-friendliness, under different evaluation criteria, both reflect people’s lay theory about the relationship between visual complexity and manufacturing resources used. Consistent with our theory, the effect of visual design on efficacy and eco-friendliness perceptions was pronounced among people who generally saw visual complexity in package design as indicative of manufacturing resources – the majority of our sample – but attenuated among those who did not hold such a lay belief.</w:t>
      </w:r>
    </w:p>
    <w:p w14:paraId="6BE7E518" w14:textId="77777777" w:rsidR="00391B4B" w:rsidRDefault="00391B4B">
      <w:pPr>
        <w:spacing w:after="0" w:line="480" w:lineRule="auto"/>
        <w:ind w:firstLine="720"/>
        <w:rPr>
          <w:rFonts w:ascii="Times New Roman" w:eastAsia="Times New Roman" w:hAnsi="Times New Roman" w:cs="Times New Roman"/>
          <w:sz w:val="24"/>
          <w:szCs w:val="24"/>
        </w:rPr>
      </w:pPr>
    </w:p>
    <w:p w14:paraId="3A4CCCC5" w14:textId="77777777" w:rsidR="00391B4B" w:rsidRDefault="006E2B95">
      <w:pPr>
        <w:spacing w:after="0" w:line="480" w:lineRule="auto"/>
        <w:rPr>
          <w:rFonts w:ascii="Times New Roman" w:eastAsia="Times New Roman" w:hAnsi="Times New Roman" w:cs="Times New Roman"/>
          <w:b/>
          <w:sz w:val="28"/>
          <w:szCs w:val="28"/>
        </w:rPr>
      </w:pPr>
      <w:bookmarkStart w:id="9" w:name="_d5io9fcce68e" w:colFirst="0" w:colLast="0"/>
      <w:bookmarkEnd w:id="9"/>
      <w:r>
        <w:rPr>
          <w:rFonts w:ascii="Times New Roman" w:eastAsia="Times New Roman" w:hAnsi="Times New Roman" w:cs="Times New Roman"/>
          <w:b/>
          <w:sz w:val="28"/>
          <w:szCs w:val="28"/>
        </w:rPr>
        <w:t>Study 5: Effect in an advertising context</w:t>
      </w:r>
    </w:p>
    <w:p w14:paraId="2F586F91" w14:textId="77777777" w:rsidR="00391B4B" w:rsidRDefault="00391B4B">
      <w:pPr>
        <w:spacing w:after="0" w:line="480" w:lineRule="auto"/>
        <w:jc w:val="center"/>
        <w:rPr>
          <w:rFonts w:ascii="Times New Roman" w:eastAsia="Times New Roman" w:hAnsi="Times New Roman" w:cs="Times New Roman"/>
          <w:b/>
          <w:sz w:val="24"/>
          <w:szCs w:val="24"/>
        </w:rPr>
      </w:pPr>
    </w:p>
    <w:p w14:paraId="6EBCEAE2"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Study</w:t>
      </w:r>
      <w:r w:rsidR="00DA72AD">
        <w:rPr>
          <w:rFonts w:ascii="Times New Roman" w:eastAsia="Times New Roman" w:hAnsi="Times New Roman" w:cs="Times New Roman"/>
          <w:sz w:val="24"/>
          <w:szCs w:val="24"/>
        </w:rPr>
        <w:t xml:space="preserve"> 5 tests our hypothesis using </w:t>
      </w:r>
      <w:r>
        <w:rPr>
          <w:rFonts w:ascii="Times New Roman" w:eastAsia="Times New Roman" w:hAnsi="Times New Roman" w:cs="Times New Roman"/>
          <w:sz w:val="24"/>
          <w:szCs w:val="24"/>
        </w:rPr>
        <w:t>social media advertising context. We told participants we were developing a new product (either high-performing or eco-friendly) and asked them to help us by picking the ad that most appropriately conveyed the high-performance (vs. eco-friendliness) aspect of the product.</w:t>
      </w:r>
    </w:p>
    <w:p w14:paraId="608BDECE" w14:textId="77777777" w:rsidR="00391B4B" w:rsidRDefault="00391B4B">
      <w:pPr>
        <w:spacing w:after="0" w:line="480" w:lineRule="auto"/>
        <w:rPr>
          <w:rFonts w:ascii="Times New Roman" w:eastAsia="Times New Roman" w:hAnsi="Times New Roman" w:cs="Times New Roman"/>
          <w:b/>
          <w:sz w:val="24"/>
          <w:szCs w:val="24"/>
        </w:rPr>
      </w:pPr>
    </w:p>
    <w:p w14:paraId="70EF64AB"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2AF5DA2D" w14:textId="77777777" w:rsidR="00391B4B" w:rsidRDefault="00391B4B">
      <w:pPr>
        <w:spacing w:after="0" w:line="480" w:lineRule="auto"/>
        <w:rPr>
          <w:rFonts w:ascii="Times New Roman" w:eastAsia="Times New Roman" w:hAnsi="Times New Roman" w:cs="Times New Roman"/>
          <w:b/>
          <w:sz w:val="24"/>
          <w:szCs w:val="24"/>
        </w:rPr>
      </w:pPr>
    </w:p>
    <w:p w14:paraId="34BFB2F6"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Participants and design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Consistent with preregistration (</w:t>
      </w:r>
      <w:hyperlink r:id="rId17">
        <w:r>
          <w:rPr>
            <w:rFonts w:ascii="Times New Roman" w:eastAsia="Times New Roman" w:hAnsi="Times New Roman" w:cs="Times New Roman"/>
            <w:color w:val="0563C1"/>
            <w:sz w:val="24"/>
            <w:szCs w:val="24"/>
            <w:u w:val="single"/>
          </w:rPr>
          <w:t>https://aspredicted.org/dbwp-cjxd.pdf</w:t>
        </w:r>
      </w:hyperlink>
      <w:r>
        <w:rPr>
          <w:rFonts w:ascii="Times New Roman" w:eastAsia="Times New Roman" w:hAnsi="Times New Roman" w:cs="Times New Roman"/>
          <w:sz w:val="24"/>
          <w:szCs w:val="24"/>
        </w:rPr>
        <w:t xml:space="preserve">), we recruited 208 U.S. Prolific participants (52.6% female,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age</w:t>
      </w:r>
      <w:r>
        <w:rPr>
          <w:rFonts w:ascii="Times New Roman" w:eastAsia="Times New Roman" w:hAnsi="Times New Roman" w:cs="Times New Roman"/>
          <w:sz w:val="24"/>
          <w:szCs w:val="24"/>
        </w:rPr>
        <w:t xml:space="preserve"> = 42.00), after excluding those who failed the attention check or did not complete the study, in exchange for a small monetary compensation. </w:t>
      </w:r>
    </w:p>
    <w:p w14:paraId="39414D33"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had a 2-cell (evaluation criterion: efficacy vs. eco-friendliness) between-subjects design.</w:t>
      </w:r>
    </w:p>
    <w:p w14:paraId="193B8275" w14:textId="77777777" w:rsidR="00391B4B" w:rsidRDefault="00391B4B">
      <w:pPr>
        <w:spacing w:after="0" w:line="480" w:lineRule="auto"/>
        <w:ind w:firstLine="720"/>
        <w:rPr>
          <w:rFonts w:ascii="Times New Roman" w:eastAsia="Times New Roman" w:hAnsi="Times New Roman" w:cs="Times New Roman"/>
          <w:i/>
          <w:sz w:val="24"/>
          <w:szCs w:val="24"/>
        </w:rPr>
      </w:pPr>
    </w:p>
    <w:p w14:paraId="1B088FAF" w14:textId="6E4DD241"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Procedure</w:t>
      </w:r>
      <w:r>
        <w:rPr>
          <w:rFonts w:ascii="Times New Roman" w:eastAsia="Times New Roman" w:hAnsi="Times New Roman" w:cs="Times New Roman"/>
          <w:sz w:val="24"/>
          <w:szCs w:val="24"/>
        </w:rPr>
        <w:t xml:space="preserve"> The instructions varied depending on the evaluation criterion condition: participants read </w:t>
      </w:r>
      <w:r w:rsidR="00106E95">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we were developing a new high performance [vs. eco-friendly] energy drink for which they would provide opinions. We asked participants to pick the advertisement that conveyed the high-performance [vs. eco-friendliness] aspect of the product better.</w:t>
      </w:r>
    </w:p>
    <w:p w14:paraId="6F05E7A3" w14:textId="77673B64" w:rsidR="00A362AD" w:rsidRDefault="006E2B95" w:rsidP="003E6DCD">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participants saw two advertisements. </w:t>
      </w:r>
      <w:r w:rsidR="00944403">
        <w:rPr>
          <w:rFonts w:ascii="Times New Roman" w:hAnsi="Times New Roman" w:cs="Times New Roman" w:hint="eastAsia"/>
          <w:sz w:val="24"/>
          <w:szCs w:val="24"/>
        </w:rPr>
        <w:t>They</w:t>
      </w:r>
      <w:r>
        <w:rPr>
          <w:rFonts w:ascii="Times New Roman" w:eastAsia="Times New Roman" w:hAnsi="Times New Roman" w:cs="Times New Roman"/>
          <w:sz w:val="24"/>
          <w:szCs w:val="24"/>
        </w:rPr>
        <w:t xml:space="preserve"> resembled social media advertisements displaying the brand name at the top (Liquid Electricity), a call-to-action button (Order Yours), and two energy drink cans positioned around a prominent “Try Now” message. The advertisements had the same elements except for the can’s visual complexity vs. simplicity (appendix F). We used the same energy drink designs from Study 2. Participants chose the ad that they felt better conveyed the focal evaluation criterion, provided demographics, and were thanked.</w:t>
      </w:r>
      <w:r w:rsidR="00A362AD">
        <w:rPr>
          <w:rFonts w:ascii="Times New Roman" w:eastAsia="Times New Roman" w:hAnsi="Times New Roman" w:cs="Times New Roman"/>
          <w:sz w:val="24"/>
          <w:szCs w:val="24"/>
        </w:rPr>
        <w:t xml:space="preserve"> </w:t>
      </w:r>
    </w:p>
    <w:p w14:paraId="7C305E71" w14:textId="77777777" w:rsidR="00391B4B" w:rsidRDefault="00391B4B">
      <w:pPr>
        <w:spacing w:after="0" w:line="480" w:lineRule="auto"/>
        <w:rPr>
          <w:rFonts w:ascii="Times New Roman" w:eastAsia="Times New Roman" w:hAnsi="Times New Roman" w:cs="Times New Roman"/>
          <w:b/>
          <w:sz w:val="24"/>
          <w:szCs w:val="24"/>
        </w:rPr>
      </w:pPr>
    </w:p>
    <w:p w14:paraId="66A4170D"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40152D42" w14:textId="77777777" w:rsidR="00391B4B" w:rsidRDefault="00391B4B">
      <w:pPr>
        <w:spacing w:after="0" w:line="480" w:lineRule="auto"/>
        <w:rPr>
          <w:rFonts w:ascii="Times New Roman" w:eastAsia="Times New Roman" w:hAnsi="Times New Roman" w:cs="Times New Roman"/>
          <w:b/>
          <w:sz w:val="24"/>
          <w:szCs w:val="24"/>
        </w:rPr>
      </w:pPr>
    </w:p>
    <w:p w14:paraId="07760729"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chi-square test revealed that participants were more likely to pick the ad featuring the complex design over the simple design in the efficacy evaluation criterion (80.0%) than in the eco-friendliness evaluation criterion (38.8%, χ</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(1) = 36.60,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Subsequent proportion tests showed that in the efficacy evaluation criterion condition, the choice share of the complex ad was significantly greater than 50% (80.0%,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 6.15,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.001). Conversely, in the eco-friendliness evaluation criterion condition, the choice share of the simple ad was significantly greater than 50% (61.2%, </w:t>
      </w:r>
      <w:r>
        <w:rPr>
          <w:rFonts w:ascii="Times New Roman" w:eastAsia="Times New Roman" w:hAnsi="Times New Roman" w:cs="Times New Roman"/>
          <w:i/>
          <w:sz w:val="24"/>
          <w:szCs w:val="24"/>
        </w:rPr>
        <w:t>z</w:t>
      </w:r>
      <w:r>
        <w:rPr>
          <w:rFonts w:ascii="Times New Roman" w:eastAsia="Times New Roman" w:hAnsi="Times New Roman" w:cs="Times New Roman"/>
          <w:sz w:val="24"/>
          <w:szCs w:val="24"/>
        </w:rPr>
        <w:t xml:space="preserve"> = 2.27,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 .023).</w:t>
      </w:r>
    </w:p>
    <w:p w14:paraId="55FD5CA0" w14:textId="77777777" w:rsidR="00391B4B" w:rsidRDefault="00391B4B">
      <w:pPr>
        <w:spacing w:after="0" w:line="480" w:lineRule="auto"/>
        <w:rPr>
          <w:rFonts w:ascii="Times New Roman" w:eastAsia="Times New Roman" w:hAnsi="Times New Roman" w:cs="Times New Roman"/>
          <w:b/>
          <w:sz w:val="24"/>
          <w:szCs w:val="24"/>
        </w:rPr>
      </w:pPr>
    </w:p>
    <w:p w14:paraId="73D750D2" w14:textId="77777777" w:rsidR="00E62041" w:rsidRDefault="00E62041">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6447B4E"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Discussion</w:t>
      </w:r>
    </w:p>
    <w:p w14:paraId="2C3B3248" w14:textId="77777777" w:rsidR="00391B4B" w:rsidRDefault="00391B4B">
      <w:pPr>
        <w:spacing w:after="0" w:line="480" w:lineRule="auto"/>
        <w:rPr>
          <w:rFonts w:ascii="Times New Roman" w:eastAsia="Times New Roman" w:hAnsi="Times New Roman" w:cs="Times New Roman"/>
          <w:b/>
          <w:sz w:val="24"/>
          <w:szCs w:val="24"/>
        </w:rPr>
      </w:pPr>
    </w:p>
    <w:p w14:paraId="7604D0EA"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Study 5 extends our prior findings to a social media advertising context, showing that people intuit that an ad featuring a visually complex design more persuasively conveys efficacy, while an ad featuring a simple design conveys eco-friendliness.</w:t>
      </w:r>
    </w:p>
    <w:p w14:paraId="31CF9C44" w14:textId="652C3BA0" w:rsidR="00391B4B" w:rsidRDefault="00391B4B">
      <w:pPr>
        <w:spacing w:after="0" w:line="480" w:lineRule="auto"/>
        <w:rPr>
          <w:rFonts w:ascii="Times New Roman" w:eastAsia="Times New Roman" w:hAnsi="Times New Roman" w:cs="Times New Roman"/>
          <w:b/>
          <w:sz w:val="24"/>
          <w:szCs w:val="24"/>
        </w:rPr>
      </w:pPr>
    </w:p>
    <w:p w14:paraId="04AAAEE7" w14:textId="77777777" w:rsidR="00391B4B" w:rsidRDefault="006E2B95">
      <w:pPr>
        <w:spacing w:after="0" w:line="48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General discussion</w:t>
      </w:r>
    </w:p>
    <w:p w14:paraId="2304915C" w14:textId="77777777" w:rsidR="00391B4B" w:rsidRDefault="00391B4B">
      <w:pPr>
        <w:spacing w:after="0" w:line="480" w:lineRule="auto"/>
        <w:ind w:firstLine="720"/>
        <w:rPr>
          <w:rFonts w:ascii="Times New Roman" w:eastAsia="Times New Roman" w:hAnsi="Times New Roman" w:cs="Times New Roman"/>
          <w:sz w:val="24"/>
          <w:szCs w:val="24"/>
        </w:rPr>
      </w:pPr>
    </w:p>
    <w:p w14:paraId="01494E2B"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inferences do consumers draw from the mere visual complexity or simplicity of package designs? In this paper, we demonstrate that the answer depends on the focal judgment they seek to make. Extending prior research, which has largely documented a “less-is-better” effect (Table 1), we show that the inferences drawn from visual complexity are moderated by consumers’ salient evaluation criteria. Further diverging from prior research, our findings reveal that these effects are mediated by perceptions of the manufacturing resources involved and moderated by the extent to which people hold a lay theory linking design complexity with resource abundance. </w:t>
      </w:r>
    </w:p>
    <w:p w14:paraId="74486FA1"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series of realistic and controlled experiments, we show that when an efficacy criterion is salient, consumers prefer products with visually complex designs, but when an eco-friendliness criterion is salient, they prefer visually simple designs. These opposing effects reveal that minimalistic packaging is not universally superior; rather, its value is </w:t>
      </w:r>
      <w:proofErr w:type="gramStart"/>
      <w:r>
        <w:rPr>
          <w:rFonts w:ascii="Times New Roman" w:eastAsia="Times New Roman" w:hAnsi="Times New Roman" w:cs="Times New Roman"/>
          <w:sz w:val="24"/>
          <w:szCs w:val="24"/>
        </w:rPr>
        <w:t>context-dependent</w:t>
      </w:r>
      <w:proofErr w:type="gramEnd"/>
      <w:r>
        <w:rPr>
          <w:rFonts w:ascii="Times New Roman" w:eastAsia="Times New Roman" w:hAnsi="Times New Roman" w:cs="Times New Roman"/>
          <w:sz w:val="24"/>
          <w:szCs w:val="24"/>
        </w:rPr>
        <w:t xml:space="preserve">. Our studies demonstrate that these effects are serially mediated by perceptions of tangible manufacturing resources and the subsequent judgments of efficacy or eco-friendliness, casting doubt on alternative explanations such as processing fluency, aesthetic appeal, prestige, and store </w:t>
      </w:r>
      <w:r>
        <w:rPr>
          <w:rFonts w:ascii="Times New Roman" w:eastAsia="Times New Roman" w:hAnsi="Times New Roman" w:cs="Times New Roman"/>
          <w:sz w:val="24"/>
          <w:szCs w:val="24"/>
        </w:rPr>
        <w:lastRenderedPageBreak/>
        <w:t>brand perceptions. Importantly, these findings apply beyond package design and generalize to ad copies that feature these respective package designs.</w:t>
      </w:r>
    </w:p>
    <w:p w14:paraId="19EF738B" w14:textId="77777777" w:rsidR="00391B4B" w:rsidRDefault="00391B4B">
      <w:pPr>
        <w:spacing w:after="0" w:line="480" w:lineRule="auto"/>
        <w:jc w:val="center"/>
        <w:rPr>
          <w:rFonts w:ascii="Times New Roman" w:eastAsia="Times New Roman" w:hAnsi="Times New Roman" w:cs="Times New Roman"/>
          <w:sz w:val="24"/>
          <w:szCs w:val="24"/>
        </w:rPr>
      </w:pPr>
    </w:p>
    <w:p w14:paraId="12306AB3"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Theoretical contributions</w:t>
      </w:r>
    </w:p>
    <w:p w14:paraId="667A0847" w14:textId="77777777" w:rsidR="00391B4B" w:rsidRDefault="00391B4B">
      <w:pPr>
        <w:spacing w:after="0" w:line="480" w:lineRule="auto"/>
        <w:rPr>
          <w:rFonts w:ascii="Times New Roman" w:eastAsia="Times New Roman" w:hAnsi="Times New Roman" w:cs="Times New Roman"/>
          <w:b/>
          <w:sz w:val="24"/>
          <w:szCs w:val="24"/>
        </w:rPr>
      </w:pPr>
    </w:p>
    <w:p w14:paraId="729C6EEC" w14:textId="0629A252"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research </w:t>
      </w:r>
      <w:r w:rsidR="001D6529">
        <w:rPr>
          <w:rFonts w:ascii="Times New Roman" w:eastAsia="Times New Roman" w:hAnsi="Times New Roman" w:cs="Times New Roman"/>
          <w:sz w:val="24"/>
          <w:szCs w:val="24"/>
        </w:rPr>
        <w:t xml:space="preserve">makes </w:t>
      </w:r>
      <w:r>
        <w:rPr>
          <w:rFonts w:ascii="Times New Roman" w:eastAsia="Times New Roman" w:hAnsi="Times New Roman" w:cs="Times New Roman"/>
          <w:sz w:val="24"/>
          <w:szCs w:val="24"/>
        </w:rPr>
        <w:t>several significant theoretical contributions to the advertising and consumer behavior literatures. First, we identify a</w:t>
      </w:r>
      <w:r w:rsidR="001D6529">
        <w:rPr>
          <w:rFonts w:ascii="Times New Roman" w:eastAsia="Times New Roman" w:hAnsi="Times New Roman" w:cs="Times New Roman"/>
          <w:sz w:val="24"/>
          <w:szCs w:val="24"/>
        </w:rPr>
        <w:t xml:space="preserve"> key</w:t>
      </w:r>
      <w:r>
        <w:rPr>
          <w:rFonts w:ascii="Times New Roman" w:eastAsia="Times New Roman" w:hAnsi="Times New Roman" w:cs="Times New Roman"/>
          <w:sz w:val="24"/>
          <w:szCs w:val="24"/>
        </w:rPr>
        <w:t xml:space="preserve"> moderator of the effect of visual complexity: consumer’s salient evaluation criterion. </w:t>
      </w:r>
      <w:r w:rsidR="000628B7">
        <w:rPr>
          <w:rFonts w:ascii="Times New Roman" w:eastAsia="Times New Roman" w:hAnsi="Times New Roman" w:cs="Times New Roman"/>
          <w:sz w:val="24"/>
          <w:szCs w:val="24"/>
        </w:rPr>
        <w:t>M</w:t>
      </w:r>
      <w:r>
        <w:rPr>
          <w:rFonts w:ascii="Times New Roman" w:eastAsia="Times New Roman" w:hAnsi="Times New Roman" w:cs="Times New Roman"/>
          <w:sz w:val="24"/>
          <w:szCs w:val="24"/>
        </w:rPr>
        <w:t>uch of the existing literature documents main effects of visual design</w:t>
      </w:r>
      <w:r w:rsidR="001D6529">
        <w:rPr>
          <w:rFonts w:ascii="Times New Roman" w:eastAsia="Times New Roman" w:hAnsi="Times New Roman" w:cs="Times New Roman"/>
          <w:sz w:val="24"/>
          <w:szCs w:val="24"/>
        </w:rPr>
        <w:t xml:space="preserve"> </w:t>
      </w:r>
      <w:r w:rsidR="001D6529" w:rsidRPr="001D6529">
        <w:rPr>
          <w:rFonts w:ascii="Times New Roman" w:eastAsia="Times New Roman" w:hAnsi="Times New Roman" w:cs="Times New Roman"/>
          <w:sz w:val="24"/>
          <w:szCs w:val="24"/>
        </w:rPr>
        <w:t>—</w:t>
      </w:r>
      <w:r w:rsidR="001D6529">
        <w:rPr>
          <w:rFonts w:ascii="Times New Roman" w:eastAsia="Times New Roman" w:hAnsi="Times New Roman" w:cs="Times New Roman"/>
          <w:sz w:val="24"/>
          <w:szCs w:val="24"/>
        </w:rPr>
        <w:t xml:space="preserve"> for example</w:t>
      </w:r>
      <w:r>
        <w:rPr>
          <w:rFonts w:ascii="Times New Roman" w:eastAsia="Times New Roman" w:hAnsi="Times New Roman" w:cs="Times New Roman"/>
          <w:sz w:val="24"/>
          <w:szCs w:val="24"/>
        </w:rPr>
        <w:t>, showing that simplicity universally signals eco-friendliness (Wang et al. 2024) or authenticity (Wang et al. 2023)</w:t>
      </w:r>
      <w:r w:rsidR="001D6529">
        <w:rPr>
          <w:rFonts w:ascii="Times New Roman" w:eastAsia="Times New Roman" w:hAnsi="Times New Roman" w:cs="Times New Roman"/>
          <w:sz w:val="24"/>
          <w:szCs w:val="24"/>
        </w:rPr>
        <w:t xml:space="preserve"> </w:t>
      </w:r>
      <w:r w:rsidR="001D6529" w:rsidRPr="001D65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our research is the first to demonstrate that the downstream effects of visual complexity are criterion-contingent and can reverse based on the consumer’s </w:t>
      </w:r>
      <w:r w:rsidR="0087224B">
        <w:rPr>
          <w:rFonts w:ascii="Times New Roman" w:eastAsia="Times New Roman" w:hAnsi="Times New Roman" w:cs="Times New Roman"/>
          <w:sz w:val="24"/>
          <w:szCs w:val="24"/>
        </w:rPr>
        <w:t xml:space="preserve">evaluation </w:t>
      </w:r>
      <w:r>
        <w:rPr>
          <w:rFonts w:ascii="Times New Roman" w:eastAsia="Times New Roman" w:hAnsi="Times New Roman" w:cs="Times New Roman"/>
          <w:sz w:val="24"/>
          <w:szCs w:val="24"/>
        </w:rPr>
        <w:t xml:space="preserve">focus. </w:t>
      </w:r>
      <w:r w:rsidR="001D6529" w:rsidRPr="001D6529">
        <w:rPr>
          <w:rFonts w:ascii="Times New Roman" w:eastAsia="Times New Roman" w:hAnsi="Times New Roman" w:cs="Times New Roman"/>
          <w:sz w:val="24"/>
          <w:szCs w:val="24"/>
        </w:rPr>
        <w:t>Authenticity perceptions, for instance, may co-occur with perceptions of resource use, but they are unlikely to drive our effects: they do not account for the observed mediation (Studies 3a and 3b) or moderation (Studies 4a and 4b), both of which hinge on lay beliefs about resource use rather than authenticity</w:t>
      </w:r>
      <w:r w:rsidR="001D6529">
        <w:rPr>
          <w:rFonts w:ascii="Times New Roman" w:eastAsia="Times New Roman" w:hAnsi="Times New Roman" w:cs="Times New Roman"/>
          <w:sz w:val="24"/>
          <w:szCs w:val="24"/>
          <w:lang w:val="en"/>
        </w:rPr>
        <w:t>.</w:t>
      </w:r>
      <w:r w:rsidR="001D6529" w:rsidRPr="001D6529">
        <w:rPr>
          <w:rFonts w:ascii="Times New Roman" w:eastAsia="Times New Roman" w:hAnsi="Times New Roman" w:cs="Times New Roman"/>
          <w:sz w:val="24"/>
          <w:szCs w:val="24"/>
        </w:rPr>
        <w:t xml:space="preserve"> </w:t>
      </w:r>
      <w:r w:rsidR="00B97498" w:rsidRPr="00B97498">
        <w:rPr>
          <w:rFonts w:ascii="Times New Roman" w:eastAsia="Times New Roman" w:hAnsi="Times New Roman" w:cs="Times New Roman"/>
          <w:sz w:val="24"/>
          <w:szCs w:val="24"/>
        </w:rPr>
        <w:t>Moreover, there is little conceptual basis to expect authenticity perceptions to increase perceived efficacy, as the</w:t>
      </w:r>
      <w:r w:rsidR="00B97498">
        <w:rPr>
          <w:rFonts w:ascii="Times New Roman" w:eastAsia="Times New Roman" w:hAnsi="Times New Roman" w:cs="Times New Roman"/>
          <w:sz w:val="24"/>
          <w:szCs w:val="24"/>
        </w:rPr>
        <w:t>se</w:t>
      </w:r>
      <w:r w:rsidR="00B97498" w:rsidRPr="00B97498">
        <w:rPr>
          <w:rFonts w:ascii="Times New Roman" w:eastAsia="Times New Roman" w:hAnsi="Times New Roman" w:cs="Times New Roman"/>
          <w:sz w:val="24"/>
          <w:szCs w:val="24"/>
        </w:rPr>
        <w:t xml:space="preserve"> constructs are not inherently related.</w:t>
      </w:r>
      <w:r w:rsidR="001D6529" w:rsidRPr="001D6529">
        <w:rPr>
          <w:rFonts w:ascii="Times New Roman" w:eastAsia="Times New Roman" w:hAnsi="Times New Roman" w:cs="Times New Roman"/>
          <w:sz w:val="24"/>
          <w:szCs w:val="24"/>
        </w:rPr>
        <w:t xml:space="preserve"> </w:t>
      </w:r>
      <w:r w:rsidR="00B97498">
        <w:rPr>
          <w:rFonts w:ascii="Times New Roman" w:eastAsia="Times New Roman" w:hAnsi="Times New Roman" w:cs="Times New Roman"/>
          <w:sz w:val="24"/>
          <w:szCs w:val="24"/>
        </w:rPr>
        <w:t>B</w:t>
      </w:r>
      <w:r w:rsidR="00B97498" w:rsidRPr="00B97498">
        <w:rPr>
          <w:rFonts w:ascii="Times New Roman" w:eastAsia="Times New Roman" w:hAnsi="Times New Roman" w:cs="Times New Roman"/>
          <w:sz w:val="24"/>
          <w:szCs w:val="24"/>
        </w:rPr>
        <w:t>y distinguishing these consumer evaluations</w:t>
      </w:r>
      <w:r w:rsidR="00B97498">
        <w:rPr>
          <w:rFonts w:ascii="Times New Roman" w:eastAsia="Times New Roman" w:hAnsi="Times New Roman" w:cs="Times New Roman"/>
          <w:sz w:val="24"/>
          <w:szCs w:val="24"/>
        </w:rPr>
        <w:t>, our research offers</w:t>
      </w:r>
      <w:r>
        <w:rPr>
          <w:rFonts w:ascii="Times New Roman" w:eastAsia="Times New Roman" w:hAnsi="Times New Roman" w:cs="Times New Roman"/>
          <w:sz w:val="24"/>
          <w:szCs w:val="24"/>
        </w:rPr>
        <w:t xml:space="preserve"> a more nuanced and complete account of how visual complexity shapes product inferences.</w:t>
      </w:r>
    </w:p>
    <w:p w14:paraId="7658397C"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we propose and find evidence for a novel underlying mechanism: perceived tangible manufacturing resources. This mediator is broader than those previously studied in food contexts, such as the number of ingredients (Ton et al. 2024) or the degree of human intervention (He et al. 2025). By conceptualizing resources to include energy, raw materials, and production </w:t>
      </w:r>
      <w:r>
        <w:rPr>
          <w:rFonts w:ascii="Times New Roman" w:eastAsia="Times New Roman" w:hAnsi="Times New Roman" w:cs="Times New Roman"/>
          <w:sz w:val="24"/>
          <w:szCs w:val="24"/>
        </w:rPr>
        <w:lastRenderedPageBreak/>
        <w:t xml:space="preserve">steps, we provide a more comprehensive explanation for how consumers form judgments, particularly for non-food where ingredient count is less relevant. Our conceptualization of product efficacy in CPG categories extends prior research on package complexity effects in food categories, which has focused on other dimensions of product “goodness,” such as healthiness or tastiness. Different consumption domains are governed by different lay theories and evaluation criteria for what makes a product desirable.  </w:t>
      </w:r>
    </w:p>
    <w:p w14:paraId="31A23D83"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Third, our research contributes to the understanding of how lay theories operate in visual persuasion. We show that the effect of visual complexity on judgment is moderated by the extent to which consumers hold a lay belief connecting design to manufacturing resources. This highlights the crucial role of pre-existing, accessible beliefs in interpreting the meaning of structural design elements in advertising and packaging.</w:t>
      </w:r>
    </w:p>
    <w:p w14:paraId="381EA0FC"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findings might offer a novel explanation for the perceived trade-off between eco-friendliness and efficacy, documented previously in the consumer behavior literature (Luchs et al. 2010). Rather than a mere negative association, our findings suggest that this perceived negative correlation might be partly driven by perceptions of manufacturing resources. Our framework suggests an additional inferential pathway explaining this common association.</w:t>
      </w:r>
    </w:p>
    <w:p w14:paraId="0A12A796" w14:textId="77777777" w:rsidR="00391B4B" w:rsidRDefault="00391B4B">
      <w:pPr>
        <w:spacing w:after="0" w:line="480" w:lineRule="auto"/>
        <w:ind w:firstLine="720"/>
        <w:rPr>
          <w:rFonts w:ascii="Times New Roman" w:eastAsia="Times New Roman" w:hAnsi="Times New Roman" w:cs="Times New Roman"/>
          <w:sz w:val="24"/>
          <w:szCs w:val="24"/>
        </w:rPr>
      </w:pPr>
    </w:p>
    <w:p w14:paraId="08B3D646"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Boundary conditions and directions for future research</w:t>
      </w:r>
    </w:p>
    <w:p w14:paraId="762FF86B" w14:textId="77777777" w:rsidR="00391B4B" w:rsidRDefault="00391B4B">
      <w:pPr>
        <w:spacing w:after="0" w:line="480" w:lineRule="auto"/>
        <w:rPr>
          <w:rFonts w:ascii="Times New Roman" w:eastAsia="Times New Roman" w:hAnsi="Times New Roman" w:cs="Times New Roman"/>
          <w:sz w:val="24"/>
          <w:szCs w:val="24"/>
        </w:rPr>
      </w:pPr>
    </w:p>
    <w:p w14:paraId="295A1B88" w14:textId="6119F769" w:rsidR="00391B4B" w:rsidRPr="0044181E"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demonstrated the effect of graphic package design on inferences, but these effects are likely to be attenuated in the presence of more diagnostic cues, such as explicit product information or strong pre-existing brand associations. Future res</w:t>
      </w:r>
      <w:r w:rsidRPr="0044181E">
        <w:rPr>
          <w:rFonts w:ascii="Times New Roman" w:eastAsia="Times New Roman" w:hAnsi="Times New Roman" w:cs="Times New Roman"/>
          <w:sz w:val="24"/>
          <w:szCs w:val="24"/>
        </w:rPr>
        <w:t>earch could explore the interplay between these subtle design cues and more explicit information.</w:t>
      </w:r>
      <w:r w:rsidR="0044181E" w:rsidRPr="0044181E">
        <w:rPr>
          <w:rFonts w:ascii="Times New Roman" w:eastAsia="Times New Roman" w:hAnsi="Times New Roman" w:cs="Times New Roman"/>
          <w:sz w:val="24"/>
          <w:szCs w:val="24"/>
        </w:rPr>
        <w:t xml:space="preserve"> Future research may also </w:t>
      </w:r>
      <w:r w:rsidR="0044181E" w:rsidRPr="0044181E">
        <w:rPr>
          <w:rFonts w:ascii="Times New Roman" w:eastAsia="Times New Roman" w:hAnsi="Times New Roman" w:cs="Times New Roman"/>
          <w:sz w:val="24"/>
          <w:szCs w:val="24"/>
        </w:rPr>
        <w:lastRenderedPageBreak/>
        <w:t xml:space="preserve">examine </w:t>
      </w:r>
      <w:r w:rsidR="0044181E">
        <w:rPr>
          <w:rFonts w:ascii="Times New Roman" w:eastAsia="Times New Roman" w:hAnsi="Times New Roman" w:cs="Times New Roman"/>
          <w:sz w:val="24"/>
          <w:szCs w:val="24"/>
        </w:rPr>
        <w:t xml:space="preserve">the distinction between “feature complexity” (i.e., more </w:t>
      </w:r>
      <w:r w:rsidR="0044181E" w:rsidRPr="003F0243">
        <w:rPr>
          <w:rFonts w:ascii="Times New Roman" w:eastAsia="Times New Roman" w:hAnsi="Times New Roman" w:cs="Times New Roman"/>
          <w:sz w:val="24"/>
          <w:szCs w:val="24"/>
        </w:rPr>
        <w:t>dense perceptual features</w:t>
      </w:r>
      <w:r w:rsidR="0044181E">
        <w:rPr>
          <w:rFonts w:ascii="Times New Roman" w:eastAsia="Times New Roman" w:hAnsi="Times New Roman" w:cs="Times New Roman"/>
          <w:sz w:val="24"/>
          <w:szCs w:val="24"/>
        </w:rPr>
        <w:t xml:space="preserve">) versus “design complexity” (i.e., more </w:t>
      </w:r>
      <w:r w:rsidR="0044181E" w:rsidRPr="003F0243">
        <w:rPr>
          <w:rFonts w:ascii="Times New Roman" w:eastAsia="Times New Roman" w:hAnsi="Times New Roman" w:cs="Times New Roman"/>
          <w:sz w:val="24"/>
          <w:szCs w:val="24"/>
        </w:rPr>
        <w:t>elaborate creative design</w:t>
      </w:r>
      <w:r w:rsidR="0044181E">
        <w:rPr>
          <w:rFonts w:ascii="Times New Roman" w:eastAsia="Times New Roman" w:hAnsi="Times New Roman" w:cs="Times New Roman"/>
          <w:sz w:val="24"/>
          <w:szCs w:val="24"/>
        </w:rPr>
        <w:t xml:space="preserve">s; </w:t>
      </w:r>
      <w:r w:rsidR="0044181E" w:rsidRPr="003F0243">
        <w:rPr>
          <w:rFonts w:ascii="Times New Roman" w:eastAsia="Times New Roman" w:hAnsi="Times New Roman" w:cs="Times New Roman"/>
          <w:sz w:val="24"/>
          <w:szCs w:val="24"/>
        </w:rPr>
        <w:t>Pieters, Wedel, and Batra 2010</w:t>
      </w:r>
      <w:r w:rsidR="0044181E">
        <w:rPr>
          <w:rFonts w:ascii="Times New Roman" w:eastAsia="Times New Roman" w:hAnsi="Times New Roman" w:cs="Times New Roman"/>
          <w:sz w:val="24"/>
          <w:szCs w:val="24"/>
        </w:rPr>
        <w:t xml:space="preserve">) and whether our effect varies as a function of emphasizing these different nuances of visual complexity. </w:t>
      </w:r>
    </w:p>
    <w:p w14:paraId="00DEF139" w14:textId="77777777" w:rsidR="00391B4B" w:rsidRDefault="006E2B95">
      <w:pPr>
        <w:spacing w:after="0" w:line="480" w:lineRule="auto"/>
        <w:ind w:firstLine="720"/>
        <w:rPr>
          <w:rFonts w:ascii="Times New Roman" w:eastAsia="Times New Roman" w:hAnsi="Times New Roman" w:cs="Times New Roman"/>
          <w:sz w:val="24"/>
          <w:szCs w:val="24"/>
        </w:rPr>
      </w:pPr>
      <w:r w:rsidRPr="0044181E">
        <w:rPr>
          <w:rFonts w:ascii="Times New Roman" w:eastAsia="Times New Roman" w:hAnsi="Times New Roman" w:cs="Times New Roman"/>
          <w:sz w:val="24"/>
          <w:szCs w:val="24"/>
        </w:rPr>
        <w:t>Our effects are also most likely to be pronounced for new or unfamiliar brands where the</w:t>
      </w:r>
      <w:r>
        <w:rPr>
          <w:rFonts w:ascii="Times New Roman" w:eastAsia="Times New Roman" w:hAnsi="Times New Roman" w:cs="Times New Roman"/>
          <w:sz w:val="24"/>
          <w:szCs w:val="24"/>
        </w:rPr>
        <w:t xml:space="preserve"> package is a primary source of information. It would be valuable to study how these effects operate for established brands that change their packaging. Furthermore, while we focused on visual density as a key driver of complexity, future work could examine other dimensions, such as asymmetry or the intricacy of design elements, to see if they trigger similar or different inferences. Finally, while our paper documents the existence of the design-resource lay theory, research using different methods could explore the precise psychological origins of this belief.</w:t>
      </w:r>
    </w:p>
    <w:p w14:paraId="7C68303E" w14:textId="52604D8A" w:rsidR="00B97498" w:rsidRDefault="00B97498">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although we included one fully consequential study (Study 1) and another incentive-compatible experiment (Study 2), </w:t>
      </w:r>
      <w:r w:rsidRPr="00B97498">
        <w:rPr>
          <w:rFonts w:ascii="Times New Roman" w:eastAsia="Times New Roman" w:hAnsi="Times New Roman" w:cs="Times New Roman"/>
          <w:sz w:val="24"/>
          <w:szCs w:val="24"/>
          <w:lang w:val="en"/>
        </w:rPr>
        <w:t xml:space="preserve">future research could </w:t>
      </w:r>
      <w:r>
        <w:rPr>
          <w:rFonts w:ascii="Times New Roman" w:eastAsia="Times New Roman" w:hAnsi="Times New Roman" w:cs="Times New Roman"/>
          <w:sz w:val="24"/>
          <w:szCs w:val="24"/>
          <w:lang w:val="en"/>
        </w:rPr>
        <w:t>explore</w:t>
      </w:r>
      <w:r w:rsidRPr="00B97498">
        <w:rPr>
          <w:rFonts w:ascii="Times New Roman" w:eastAsia="Times New Roman" w:hAnsi="Times New Roman" w:cs="Times New Roman"/>
          <w:sz w:val="24"/>
          <w:szCs w:val="24"/>
          <w:lang w:val="en"/>
        </w:rPr>
        <w:t xml:space="preserve"> additional tangible consequences of </w:t>
      </w:r>
      <w:r>
        <w:rPr>
          <w:rFonts w:ascii="Times New Roman" w:eastAsia="Times New Roman" w:hAnsi="Times New Roman" w:cs="Times New Roman"/>
          <w:sz w:val="24"/>
          <w:szCs w:val="24"/>
          <w:lang w:val="en"/>
        </w:rPr>
        <w:t>the</w:t>
      </w:r>
      <w:r w:rsidRPr="00B97498">
        <w:rPr>
          <w:rFonts w:ascii="Times New Roman" w:eastAsia="Times New Roman" w:hAnsi="Times New Roman" w:cs="Times New Roman"/>
          <w:sz w:val="24"/>
          <w:szCs w:val="24"/>
          <w:lang w:val="en"/>
        </w:rPr>
        <w:t xml:space="preserve"> effect.</w:t>
      </w:r>
      <w:r>
        <w:rPr>
          <w:rFonts w:ascii="Times New Roman" w:eastAsia="Times New Roman" w:hAnsi="Times New Roman" w:cs="Times New Roman"/>
          <w:sz w:val="24"/>
          <w:szCs w:val="24"/>
          <w:lang w:val="en"/>
        </w:rPr>
        <w:t xml:space="preserve"> For example, analyzing actual purchase patterns in an empirical dataset would further strengthen the external validity of our findings.  </w:t>
      </w:r>
      <w:r>
        <w:rPr>
          <w:rFonts w:ascii="Times New Roman" w:eastAsia="Times New Roman" w:hAnsi="Times New Roman" w:cs="Times New Roman"/>
          <w:sz w:val="24"/>
          <w:szCs w:val="24"/>
        </w:rPr>
        <w:t xml:space="preserve">  </w:t>
      </w:r>
    </w:p>
    <w:p w14:paraId="03D8CFC2" w14:textId="77777777" w:rsidR="00391B4B" w:rsidRDefault="00391B4B">
      <w:pPr>
        <w:spacing w:after="0" w:line="480" w:lineRule="auto"/>
        <w:ind w:firstLine="720"/>
        <w:rPr>
          <w:rFonts w:ascii="Times New Roman" w:eastAsia="Times New Roman" w:hAnsi="Times New Roman" w:cs="Times New Roman"/>
          <w:sz w:val="24"/>
          <w:szCs w:val="24"/>
        </w:rPr>
      </w:pPr>
    </w:p>
    <w:p w14:paraId="2FA6F3DC" w14:textId="77777777" w:rsidR="00391B4B" w:rsidRDefault="006E2B9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Practical implications for package design</w:t>
      </w:r>
    </w:p>
    <w:p w14:paraId="32E60E9C" w14:textId="77777777" w:rsidR="00391B4B" w:rsidRDefault="00391B4B">
      <w:pPr>
        <w:spacing w:after="0" w:line="480" w:lineRule="auto"/>
        <w:rPr>
          <w:rFonts w:ascii="Times New Roman" w:eastAsia="Times New Roman" w:hAnsi="Times New Roman" w:cs="Times New Roman"/>
          <w:b/>
          <w:sz w:val="24"/>
          <w:szCs w:val="24"/>
        </w:rPr>
      </w:pPr>
    </w:p>
    <w:p w14:paraId="3ECB4409" w14:textId="77777777" w:rsidR="00391B4B" w:rsidRDefault="006E2B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have straightforward practical implications for advertisers, brand managers, and designers.</w:t>
      </w:r>
    </w:p>
    <w:p w14:paraId="16FDE8CC"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our work offers a practical guide for aligning a product's core benefit with its package design. When advertising products where efficacy is the primary selling point (e.g., cleaning products, over-the-counter medication), using more visually complex designs may </w:t>
      </w:r>
      <w:r>
        <w:rPr>
          <w:rFonts w:ascii="Times New Roman" w:eastAsia="Times New Roman" w:hAnsi="Times New Roman" w:cs="Times New Roman"/>
          <w:sz w:val="24"/>
          <w:szCs w:val="24"/>
        </w:rPr>
        <w:lastRenderedPageBreak/>
        <w:t>reinforce perceptions of product effectiveness. Conversely, when marketing eco-friendliness, employing visually simple designs across advertising touchpoints may strengthen perceptions of environmental responsibility.</w:t>
      </w:r>
    </w:p>
    <w:p w14:paraId="25D89BF9"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 managers must recognize the inherent trade-off. Communicating efficacy via visual complexity may inadvertently harm perceptions of eco-friendliness, and vice versa. Brands must make a strategic choice about which attribute to prioritize in their visual communication. For example, a store brand aiming for a low-cost, eco-friendly perception might benefit from simplicity, even at the risk of being perceived as less effective. A potential strategy to mitigate this trade-off is to use on-pack text to counteract the visual inference (e.g., a simple package that explicitly states "Brewed over 20 hours" to signal resource investment).</w:t>
      </w:r>
    </w:p>
    <w:p w14:paraId="01E46C56" w14:textId="77777777" w:rsidR="00391B4B" w:rsidRDefault="006E2B95">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brand maturity matters. While new brands would benefit most from directly applying our findings to clearly communicate their core benefit, established brands could use this framework to reposition or appeal to new segments. For instance, a brand known for efficacy (like Lysol) could adopt a simpler design for a new "green" product line to signal eco-friendliness to consumers who already trust its performance.</w:t>
      </w:r>
    </w:p>
    <w:p w14:paraId="331CE0A8" w14:textId="77777777" w:rsidR="00391B4B" w:rsidRDefault="006E2B95">
      <w:pPr>
        <w:spacing w:after="0" w:line="480" w:lineRule="auto"/>
        <w:ind w:firstLine="720"/>
        <w:rPr>
          <w:rFonts w:ascii="Times New Roman" w:eastAsia="Times New Roman" w:hAnsi="Times New Roman" w:cs="Times New Roman"/>
          <w:sz w:val="24"/>
          <w:szCs w:val="24"/>
        </w:rPr>
        <w:sectPr w:rsidR="00391B4B">
          <w:footerReference w:type="default" r:id="rId18"/>
          <w:pgSz w:w="12240" w:h="15840"/>
          <w:pgMar w:top="1440" w:right="1440" w:bottom="1440" w:left="1440" w:header="720" w:footer="720" w:gutter="0"/>
          <w:pgNumType w:start="1"/>
          <w:cols w:space="720"/>
        </w:sectPr>
      </w:pPr>
      <w:r>
        <w:br w:type="page"/>
      </w:r>
    </w:p>
    <w:p w14:paraId="75E35676"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
        <w:tblW w:w="13100" w:type="dxa"/>
        <w:tblInd w:w="-115" w:type="dxa"/>
        <w:tblLayout w:type="fixed"/>
        <w:tblLook w:val="0400" w:firstRow="0" w:lastRow="0" w:firstColumn="0" w:lastColumn="0" w:noHBand="0" w:noVBand="1"/>
      </w:tblPr>
      <w:tblGrid>
        <w:gridCol w:w="1120"/>
        <w:gridCol w:w="1683"/>
        <w:gridCol w:w="2597"/>
        <w:gridCol w:w="1620"/>
        <w:gridCol w:w="2160"/>
        <w:gridCol w:w="70"/>
        <w:gridCol w:w="1910"/>
        <w:gridCol w:w="1940"/>
      </w:tblGrid>
      <w:tr w:rsidR="00391B4B" w14:paraId="75F1D5FB" w14:textId="77777777">
        <w:trPr>
          <w:trHeight w:val="315"/>
        </w:trPr>
        <w:tc>
          <w:tcPr>
            <w:tcW w:w="13100" w:type="dxa"/>
            <w:gridSpan w:val="8"/>
            <w:tcBorders>
              <w:top w:val="nil"/>
              <w:left w:val="nil"/>
            </w:tcBorders>
            <w:vAlign w:val="center"/>
          </w:tcPr>
          <w:p w14:paraId="2D78DE03" w14:textId="77777777" w:rsidR="00391B4B" w:rsidRDefault="006E2B9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APPENDIX A</w:t>
            </w:r>
          </w:p>
          <w:p w14:paraId="10E9D735" w14:textId="77777777" w:rsidR="00391B4B" w:rsidRDefault="00391B4B">
            <w:pPr>
              <w:spacing w:after="0" w:line="480" w:lineRule="auto"/>
              <w:jc w:val="center"/>
              <w:rPr>
                <w:rFonts w:ascii="Times New Roman" w:eastAsia="Times New Roman" w:hAnsi="Times New Roman" w:cs="Times New Roman"/>
                <w:color w:val="000000"/>
                <w:sz w:val="24"/>
                <w:szCs w:val="24"/>
              </w:rPr>
            </w:pPr>
          </w:p>
        </w:tc>
      </w:tr>
      <w:tr w:rsidR="00391B4B" w14:paraId="6501B88A" w14:textId="77777777">
        <w:trPr>
          <w:trHeight w:val="315"/>
        </w:trPr>
        <w:tc>
          <w:tcPr>
            <w:tcW w:w="1120" w:type="dxa"/>
            <w:tcBorders>
              <w:left w:val="nil"/>
              <w:bottom w:val="single" w:sz="4" w:space="0" w:color="000000"/>
              <w:right w:val="nil"/>
            </w:tcBorders>
            <w:vAlign w:val="center"/>
          </w:tcPr>
          <w:p w14:paraId="59AAF432"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Study</w:t>
            </w:r>
          </w:p>
        </w:tc>
        <w:tc>
          <w:tcPr>
            <w:tcW w:w="1683" w:type="dxa"/>
            <w:tcBorders>
              <w:left w:val="nil"/>
              <w:bottom w:val="single" w:sz="4" w:space="0" w:color="000000"/>
              <w:right w:val="nil"/>
            </w:tcBorders>
            <w:vAlign w:val="center"/>
          </w:tcPr>
          <w:p w14:paraId="0E66FF4E"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Sample</w:t>
            </w:r>
          </w:p>
        </w:tc>
        <w:tc>
          <w:tcPr>
            <w:tcW w:w="2597" w:type="dxa"/>
            <w:tcBorders>
              <w:left w:val="nil"/>
              <w:bottom w:val="single" w:sz="4" w:space="0" w:color="000000"/>
              <w:right w:val="nil"/>
            </w:tcBorders>
            <w:vAlign w:val="center"/>
          </w:tcPr>
          <w:p w14:paraId="205CFE59" w14:textId="77777777" w:rsidR="00391B4B" w:rsidRDefault="006E2B9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Response Variable(s)</w:t>
            </w:r>
          </w:p>
        </w:tc>
        <w:tc>
          <w:tcPr>
            <w:tcW w:w="7700" w:type="dxa"/>
            <w:gridSpan w:val="5"/>
            <w:tcBorders>
              <w:left w:val="nil"/>
              <w:bottom w:val="single" w:sz="4" w:space="0" w:color="000000"/>
              <w:right w:val="nil"/>
            </w:tcBorders>
            <w:vAlign w:val="center"/>
          </w:tcPr>
          <w:p w14:paraId="2A9659DA"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Independent Variable(s) / Test Statistics</w:t>
            </w:r>
          </w:p>
        </w:tc>
      </w:tr>
      <w:tr w:rsidR="00391B4B" w14:paraId="4CC09828" w14:textId="77777777">
        <w:trPr>
          <w:trHeight w:val="315"/>
        </w:trPr>
        <w:tc>
          <w:tcPr>
            <w:tcW w:w="1120" w:type="dxa"/>
            <w:vMerge w:val="restart"/>
            <w:tcBorders>
              <w:top w:val="nil"/>
              <w:left w:val="nil"/>
              <w:bottom w:val="nil"/>
              <w:right w:val="nil"/>
            </w:tcBorders>
            <w:vAlign w:val="center"/>
          </w:tcPr>
          <w:p w14:paraId="0E1176C1"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83" w:type="dxa"/>
            <w:vMerge w:val="restart"/>
            <w:tcBorders>
              <w:top w:val="nil"/>
              <w:left w:val="nil"/>
              <w:bottom w:val="nil"/>
              <w:right w:val="nil"/>
            </w:tcBorders>
            <w:vAlign w:val="center"/>
          </w:tcPr>
          <w:p w14:paraId="4F057DD0"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268 Undergraduates</w:t>
            </w:r>
          </w:p>
        </w:tc>
        <w:tc>
          <w:tcPr>
            <w:tcW w:w="2597" w:type="dxa"/>
            <w:vMerge w:val="restart"/>
            <w:tcBorders>
              <w:top w:val="nil"/>
              <w:left w:val="nil"/>
              <w:bottom w:val="nil"/>
              <w:right w:val="nil"/>
            </w:tcBorders>
            <w:vAlign w:val="center"/>
          </w:tcPr>
          <w:p w14:paraId="20B87B24" w14:textId="77777777" w:rsidR="00391B4B" w:rsidRDefault="006E2B95" w:rsidP="006B6CF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Choice of visually complex (vs. simple) soap </w:t>
            </w:r>
          </w:p>
        </w:tc>
        <w:tc>
          <w:tcPr>
            <w:tcW w:w="7700" w:type="dxa"/>
            <w:gridSpan w:val="5"/>
            <w:tcBorders>
              <w:top w:val="single" w:sz="4" w:space="0" w:color="000000"/>
              <w:left w:val="nil"/>
              <w:bottom w:val="nil"/>
              <w:right w:val="nil"/>
            </w:tcBorders>
            <w:vAlign w:val="center"/>
          </w:tcPr>
          <w:p w14:paraId="6058E11A"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Individual differences in efficacy vs. eco-friendliness considerations (measured)</w:t>
            </w:r>
          </w:p>
        </w:tc>
      </w:tr>
      <w:tr w:rsidR="00391B4B" w14:paraId="7E0BD9C7" w14:textId="77777777">
        <w:trPr>
          <w:trHeight w:val="315"/>
        </w:trPr>
        <w:tc>
          <w:tcPr>
            <w:tcW w:w="1120" w:type="dxa"/>
            <w:vMerge/>
            <w:tcBorders>
              <w:top w:val="nil"/>
              <w:left w:val="nil"/>
              <w:bottom w:val="nil"/>
              <w:right w:val="nil"/>
            </w:tcBorders>
            <w:vAlign w:val="center"/>
          </w:tcPr>
          <w:p w14:paraId="139A1E16"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683" w:type="dxa"/>
            <w:vMerge/>
            <w:tcBorders>
              <w:top w:val="nil"/>
              <w:left w:val="nil"/>
              <w:bottom w:val="nil"/>
              <w:right w:val="nil"/>
            </w:tcBorders>
            <w:vAlign w:val="center"/>
          </w:tcPr>
          <w:p w14:paraId="1A80E685"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2597" w:type="dxa"/>
            <w:vMerge/>
            <w:tcBorders>
              <w:top w:val="nil"/>
              <w:left w:val="nil"/>
              <w:bottom w:val="nil"/>
              <w:right w:val="nil"/>
            </w:tcBorders>
            <w:vAlign w:val="center"/>
          </w:tcPr>
          <w:p w14:paraId="5E183C74"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7700" w:type="dxa"/>
            <w:gridSpan w:val="5"/>
            <w:tcBorders>
              <w:top w:val="nil"/>
              <w:left w:val="nil"/>
              <w:bottom w:val="nil"/>
              <w:right w:val="nil"/>
            </w:tcBorders>
            <w:vAlign w:val="center"/>
          </w:tcPr>
          <w:p w14:paraId="62D41A8F"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B</w:t>
            </w:r>
            <w:r>
              <w:rPr>
                <w:rFonts w:ascii="Times New Roman" w:eastAsia="Times New Roman" w:hAnsi="Times New Roman" w:cs="Times New Roman"/>
                <w:color w:val="000000"/>
              </w:rPr>
              <w:t xml:space="preserve"> = .211, </w:t>
            </w:r>
            <w:r>
              <w:rPr>
                <w:rFonts w:ascii="Times New Roman" w:eastAsia="Times New Roman" w:hAnsi="Times New Roman" w:cs="Times New Roman"/>
                <w:sz w:val="24"/>
                <w:szCs w:val="24"/>
              </w:rPr>
              <w:t>χ</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color w:val="000000"/>
              </w:rPr>
              <w:t xml:space="preserve">(1) = 4.75,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 .029</w:t>
            </w:r>
          </w:p>
        </w:tc>
      </w:tr>
      <w:tr w:rsidR="00391B4B" w14:paraId="0F585300" w14:textId="77777777">
        <w:trPr>
          <w:trHeight w:val="333"/>
        </w:trPr>
        <w:tc>
          <w:tcPr>
            <w:tcW w:w="1120" w:type="dxa"/>
            <w:tcBorders>
              <w:top w:val="nil"/>
              <w:left w:val="nil"/>
              <w:bottom w:val="single" w:sz="4" w:space="0" w:color="000000"/>
              <w:right w:val="nil"/>
            </w:tcBorders>
            <w:vAlign w:val="center"/>
          </w:tcPr>
          <w:p w14:paraId="27AEB4D6"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Findings</w:t>
            </w:r>
          </w:p>
        </w:tc>
        <w:tc>
          <w:tcPr>
            <w:tcW w:w="11980" w:type="dxa"/>
            <w:gridSpan w:val="7"/>
            <w:tcBorders>
              <w:top w:val="nil"/>
              <w:left w:val="nil"/>
              <w:bottom w:val="single" w:sz="4" w:space="0" w:color="000000"/>
              <w:right w:val="nil"/>
            </w:tcBorders>
            <w:vAlign w:val="center"/>
          </w:tcPr>
          <w:p w14:paraId="745C2DDC"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Stronger efficacy (vs. eco-friendliness) considerations </w:t>
            </w:r>
            <w:proofErr w:type="gramStart"/>
            <w:r>
              <w:rPr>
                <w:rFonts w:ascii="Times New Roman" w:eastAsia="Times New Roman" w:hAnsi="Times New Roman" w:cs="Times New Roman"/>
                <w:color w:val="000000"/>
              </w:rPr>
              <w:t>increases</w:t>
            </w:r>
            <w:proofErr w:type="gramEnd"/>
            <w:r>
              <w:rPr>
                <w:rFonts w:ascii="Times New Roman" w:eastAsia="Times New Roman" w:hAnsi="Times New Roman" w:cs="Times New Roman"/>
                <w:color w:val="000000"/>
              </w:rPr>
              <w:t xml:space="preserve"> preferences for visually complex (vs. simple) options.</w:t>
            </w:r>
          </w:p>
        </w:tc>
      </w:tr>
      <w:tr w:rsidR="00391B4B" w14:paraId="02BF68C0" w14:textId="77777777">
        <w:trPr>
          <w:trHeight w:val="945"/>
        </w:trPr>
        <w:tc>
          <w:tcPr>
            <w:tcW w:w="1120" w:type="dxa"/>
            <w:vMerge w:val="restart"/>
            <w:tcBorders>
              <w:top w:val="nil"/>
              <w:left w:val="nil"/>
              <w:bottom w:val="nil"/>
              <w:right w:val="nil"/>
            </w:tcBorders>
            <w:vAlign w:val="center"/>
          </w:tcPr>
          <w:p w14:paraId="4A74E710"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683" w:type="dxa"/>
            <w:vMerge w:val="restart"/>
            <w:tcBorders>
              <w:top w:val="nil"/>
              <w:left w:val="nil"/>
              <w:bottom w:val="nil"/>
              <w:right w:val="nil"/>
            </w:tcBorders>
            <w:vAlign w:val="center"/>
          </w:tcPr>
          <w:p w14:paraId="01D13645"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196 U.S. Prolific Participants</w:t>
            </w:r>
          </w:p>
        </w:tc>
        <w:tc>
          <w:tcPr>
            <w:tcW w:w="2597" w:type="dxa"/>
            <w:tcBorders>
              <w:top w:val="nil"/>
              <w:left w:val="nil"/>
              <w:bottom w:val="nil"/>
              <w:right w:val="nil"/>
            </w:tcBorders>
            <w:vAlign w:val="center"/>
          </w:tcPr>
          <w:p w14:paraId="521BA64B"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Preference for complex (vs. simple) option across four product replicates</w:t>
            </w:r>
          </w:p>
        </w:tc>
        <w:tc>
          <w:tcPr>
            <w:tcW w:w="1620" w:type="dxa"/>
            <w:tcBorders>
              <w:top w:val="nil"/>
              <w:left w:val="nil"/>
              <w:bottom w:val="nil"/>
              <w:right w:val="nil"/>
            </w:tcBorders>
            <w:vAlign w:val="center"/>
          </w:tcPr>
          <w:p w14:paraId="09C7720E"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Efficacy evaluation criterion</w:t>
            </w:r>
          </w:p>
        </w:tc>
        <w:tc>
          <w:tcPr>
            <w:tcW w:w="2160" w:type="dxa"/>
            <w:tcBorders>
              <w:top w:val="nil"/>
              <w:left w:val="nil"/>
              <w:bottom w:val="nil"/>
              <w:right w:val="nil"/>
            </w:tcBorders>
            <w:vAlign w:val="center"/>
          </w:tcPr>
          <w:p w14:paraId="436F2F4B"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Eco-friendliness evaluation criterion</w:t>
            </w:r>
          </w:p>
        </w:tc>
        <w:tc>
          <w:tcPr>
            <w:tcW w:w="1980" w:type="dxa"/>
            <w:gridSpan w:val="2"/>
            <w:tcBorders>
              <w:top w:val="nil"/>
              <w:left w:val="nil"/>
              <w:bottom w:val="nil"/>
              <w:right w:val="nil"/>
            </w:tcBorders>
            <w:vAlign w:val="center"/>
          </w:tcPr>
          <w:p w14:paraId="1B763088"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Efficacy evaluation criterion</w:t>
            </w:r>
          </w:p>
        </w:tc>
        <w:tc>
          <w:tcPr>
            <w:tcW w:w="1940" w:type="dxa"/>
            <w:tcBorders>
              <w:top w:val="nil"/>
              <w:left w:val="nil"/>
              <w:bottom w:val="nil"/>
              <w:right w:val="nil"/>
            </w:tcBorders>
            <w:vAlign w:val="center"/>
          </w:tcPr>
          <w:p w14:paraId="2030948B"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Eco-friendliness evaluation criterion</w:t>
            </w:r>
          </w:p>
        </w:tc>
      </w:tr>
      <w:tr w:rsidR="00391B4B" w14:paraId="193B061B" w14:textId="77777777">
        <w:trPr>
          <w:trHeight w:val="315"/>
        </w:trPr>
        <w:tc>
          <w:tcPr>
            <w:tcW w:w="1120" w:type="dxa"/>
            <w:vMerge/>
            <w:tcBorders>
              <w:top w:val="nil"/>
              <w:left w:val="nil"/>
              <w:bottom w:val="nil"/>
              <w:right w:val="nil"/>
            </w:tcBorders>
            <w:vAlign w:val="center"/>
          </w:tcPr>
          <w:p w14:paraId="04222F79"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683" w:type="dxa"/>
            <w:vMerge/>
            <w:tcBorders>
              <w:top w:val="nil"/>
              <w:left w:val="nil"/>
              <w:bottom w:val="nil"/>
              <w:right w:val="nil"/>
            </w:tcBorders>
            <w:vAlign w:val="center"/>
          </w:tcPr>
          <w:p w14:paraId="2E83DE65"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2597" w:type="dxa"/>
            <w:tcBorders>
              <w:top w:val="nil"/>
              <w:left w:val="nil"/>
              <w:bottom w:val="nil"/>
              <w:right w:val="nil"/>
            </w:tcBorders>
            <w:vAlign w:val="center"/>
          </w:tcPr>
          <w:p w14:paraId="13F7A454"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Overall</w:t>
            </w:r>
          </w:p>
        </w:tc>
        <w:tc>
          <w:tcPr>
            <w:tcW w:w="1620" w:type="dxa"/>
            <w:tcBorders>
              <w:top w:val="nil"/>
              <w:left w:val="nil"/>
              <w:bottom w:val="nil"/>
              <w:right w:val="nil"/>
            </w:tcBorders>
            <w:vAlign w:val="center"/>
          </w:tcPr>
          <w:p w14:paraId="1E67DBF8" w14:textId="7B31A6A9"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vs.</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31%</w:t>
            </w:r>
          </w:p>
        </w:tc>
        <w:tc>
          <w:tcPr>
            <w:tcW w:w="2160" w:type="dxa"/>
            <w:tcBorders>
              <w:top w:val="nil"/>
              <w:left w:val="nil"/>
              <w:bottom w:val="nil"/>
              <w:right w:val="nil"/>
            </w:tcBorders>
            <w:vAlign w:val="center"/>
          </w:tcPr>
          <w:p w14:paraId="116E8E71" w14:textId="3ED8F10A"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vs.</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75%</w:t>
            </w:r>
          </w:p>
        </w:tc>
        <w:tc>
          <w:tcPr>
            <w:tcW w:w="1980" w:type="dxa"/>
            <w:gridSpan w:val="2"/>
            <w:tcBorders>
              <w:top w:val="nil"/>
              <w:left w:val="nil"/>
              <w:bottom w:val="nil"/>
              <w:right w:val="nil"/>
            </w:tcBorders>
            <w:vAlign w:val="center"/>
          </w:tcPr>
          <w:p w14:paraId="595B3441"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z</w:t>
            </w:r>
            <w:r>
              <w:rPr>
                <w:rFonts w:ascii="Times New Roman" w:eastAsia="Times New Roman" w:hAnsi="Times New Roman" w:cs="Times New Roman"/>
                <w:color w:val="000000"/>
              </w:rPr>
              <w:t xml:space="preserve"> = 7.40,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w:t>
            </w:r>
          </w:p>
        </w:tc>
        <w:tc>
          <w:tcPr>
            <w:tcW w:w="1940" w:type="dxa"/>
            <w:tcBorders>
              <w:top w:val="nil"/>
              <w:left w:val="nil"/>
              <w:bottom w:val="nil"/>
              <w:right w:val="nil"/>
            </w:tcBorders>
            <w:vAlign w:val="center"/>
          </w:tcPr>
          <w:p w14:paraId="1AF08C17"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z</w:t>
            </w:r>
            <w:r>
              <w:rPr>
                <w:rFonts w:ascii="Times New Roman" w:eastAsia="Times New Roman" w:hAnsi="Times New Roman" w:cs="Times New Roman"/>
                <w:color w:val="000000"/>
              </w:rPr>
              <w:t xml:space="preserve"> = 9.92,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w:t>
            </w:r>
          </w:p>
        </w:tc>
      </w:tr>
      <w:tr w:rsidR="00391B4B" w14:paraId="706ED95B" w14:textId="77777777">
        <w:trPr>
          <w:trHeight w:val="315"/>
        </w:trPr>
        <w:tc>
          <w:tcPr>
            <w:tcW w:w="1120" w:type="dxa"/>
            <w:vMerge/>
            <w:tcBorders>
              <w:top w:val="nil"/>
              <w:left w:val="nil"/>
              <w:bottom w:val="nil"/>
              <w:right w:val="nil"/>
            </w:tcBorders>
            <w:vAlign w:val="center"/>
          </w:tcPr>
          <w:p w14:paraId="0865F2AF"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683" w:type="dxa"/>
            <w:vMerge/>
            <w:tcBorders>
              <w:top w:val="nil"/>
              <w:left w:val="nil"/>
              <w:bottom w:val="nil"/>
              <w:right w:val="nil"/>
            </w:tcBorders>
            <w:vAlign w:val="center"/>
          </w:tcPr>
          <w:p w14:paraId="4A1BD1E1"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597" w:type="dxa"/>
            <w:tcBorders>
              <w:top w:val="nil"/>
              <w:left w:val="nil"/>
              <w:bottom w:val="nil"/>
              <w:right w:val="nil"/>
            </w:tcBorders>
            <w:vAlign w:val="center"/>
          </w:tcPr>
          <w:p w14:paraId="284F8852"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Energy drink</w:t>
            </w:r>
          </w:p>
        </w:tc>
        <w:tc>
          <w:tcPr>
            <w:tcW w:w="1620" w:type="dxa"/>
            <w:tcBorders>
              <w:top w:val="nil"/>
              <w:left w:val="nil"/>
              <w:bottom w:val="nil"/>
              <w:right w:val="nil"/>
            </w:tcBorders>
            <w:vAlign w:val="center"/>
          </w:tcPr>
          <w:p w14:paraId="0E2D74A1" w14:textId="47E530A4"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vs.</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33%</w:t>
            </w:r>
          </w:p>
        </w:tc>
        <w:tc>
          <w:tcPr>
            <w:tcW w:w="2160" w:type="dxa"/>
            <w:tcBorders>
              <w:top w:val="nil"/>
              <w:left w:val="nil"/>
              <w:bottom w:val="nil"/>
              <w:right w:val="nil"/>
            </w:tcBorders>
            <w:vAlign w:val="center"/>
          </w:tcPr>
          <w:p w14:paraId="00DFF8DE" w14:textId="00D072D2"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vs.</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75%</w:t>
            </w:r>
          </w:p>
        </w:tc>
        <w:tc>
          <w:tcPr>
            <w:tcW w:w="1980" w:type="dxa"/>
            <w:gridSpan w:val="2"/>
            <w:tcBorders>
              <w:top w:val="nil"/>
              <w:left w:val="nil"/>
              <w:bottom w:val="nil"/>
              <w:right w:val="nil"/>
            </w:tcBorders>
            <w:vAlign w:val="center"/>
          </w:tcPr>
          <w:p w14:paraId="2B5B0EDA" w14:textId="418F487D"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z</w:t>
            </w:r>
            <w:r>
              <w:rPr>
                <w:rFonts w:ascii="Times New Roman" w:eastAsia="Times New Roman" w:hAnsi="Times New Roman" w:cs="Times New Roman"/>
                <w:color w:val="000000"/>
              </w:rPr>
              <w:t xml:space="preserve"> =</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3.40,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w:t>
            </w:r>
          </w:p>
        </w:tc>
        <w:tc>
          <w:tcPr>
            <w:tcW w:w="1940" w:type="dxa"/>
            <w:tcBorders>
              <w:top w:val="nil"/>
              <w:left w:val="nil"/>
              <w:bottom w:val="nil"/>
              <w:right w:val="nil"/>
            </w:tcBorders>
            <w:vAlign w:val="center"/>
          </w:tcPr>
          <w:p w14:paraId="5F558F7F"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z</w:t>
            </w:r>
            <w:r>
              <w:rPr>
                <w:rFonts w:ascii="Times New Roman" w:eastAsia="Times New Roman" w:hAnsi="Times New Roman" w:cs="Times New Roman"/>
                <w:color w:val="000000"/>
              </w:rPr>
              <w:t xml:space="preserve"> = 4.90,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w:t>
            </w:r>
          </w:p>
        </w:tc>
      </w:tr>
      <w:tr w:rsidR="00391B4B" w14:paraId="6A32BF70" w14:textId="77777777">
        <w:trPr>
          <w:trHeight w:val="315"/>
        </w:trPr>
        <w:tc>
          <w:tcPr>
            <w:tcW w:w="1120" w:type="dxa"/>
            <w:vMerge/>
            <w:tcBorders>
              <w:top w:val="nil"/>
              <w:left w:val="nil"/>
              <w:bottom w:val="nil"/>
              <w:right w:val="nil"/>
            </w:tcBorders>
            <w:vAlign w:val="center"/>
          </w:tcPr>
          <w:p w14:paraId="679574F6"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683" w:type="dxa"/>
            <w:vMerge/>
            <w:tcBorders>
              <w:top w:val="nil"/>
              <w:left w:val="nil"/>
              <w:bottom w:val="nil"/>
              <w:right w:val="nil"/>
            </w:tcBorders>
            <w:vAlign w:val="center"/>
          </w:tcPr>
          <w:p w14:paraId="6BB4F9C6"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597" w:type="dxa"/>
            <w:tcBorders>
              <w:top w:val="nil"/>
              <w:left w:val="nil"/>
              <w:bottom w:val="nil"/>
              <w:right w:val="nil"/>
            </w:tcBorders>
            <w:vAlign w:val="center"/>
          </w:tcPr>
          <w:p w14:paraId="18DF1D2A"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Soap</w:t>
            </w:r>
          </w:p>
        </w:tc>
        <w:tc>
          <w:tcPr>
            <w:tcW w:w="1620" w:type="dxa"/>
            <w:tcBorders>
              <w:top w:val="nil"/>
              <w:left w:val="nil"/>
              <w:bottom w:val="nil"/>
              <w:right w:val="nil"/>
            </w:tcBorders>
            <w:vAlign w:val="center"/>
          </w:tcPr>
          <w:p w14:paraId="426E8DE1" w14:textId="3C3556E8"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vs.</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3</w:t>
            </w:r>
            <w:r w:rsidR="000628B7">
              <w:rPr>
                <w:rFonts w:ascii="Times New Roman" w:eastAsia="Times New Roman" w:hAnsi="Times New Roman" w:cs="Times New Roman"/>
                <w:color w:val="000000"/>
              </w:rPr>
              <w:t>5</w:t>
            </w:r>
            <w:r>
              <w:rPr>
                <w:rFonts w:ascii="Times New Roman" w:eastAsia="Times New Roman" w:hAnsi="Times New Roman" w:cs="Times New Roman"/>
                <w:color w:val="000000"/>
              </w:rPr>
              <w:t>%</w:t>
            </w:r>
          </w:p>
        </w:tc>
        <w:tc>
          <w:tcPr>
            <w:tcW w:w="2160" w:type="dxa"/>
            <w:tcBorders>
              <w:top w:val="nil"/>
              <w:left w:val="nil"/>
              <w:bottom w:val="nil"/>
              <w:right w:val="nil"/>
            </w:tcBorders>
            <w:vAlign w:val="center"/>
          </w:tcPr>
          <w:p w14:paraId="2645BE5E" w14:textId="006BD83C"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vs.</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78%</w:t>
            </w:r>
          </w:p>
        </w:tc>
        <w:tc>
          <w:tcPr>
            <w:tcW w:w="1980" w:type="dxa"/>
            <w:gridSpan w:val="2"/>
            <w:tcBorders>
              <w:top w:val="nil"/>
              <w:left w:val="nil"/>
              <w:bottom w:val="nil"/>
              <w:right w:val="nil"/>
            </w:tcBorders>
            <w:vAlign w:val="center"/>
          </w:tcPr>
          <w:p w14:paraId="5CA4D684"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z</w:t>
            </w:r>
            <w:r>
              <w:rPr>
                <w:rFonts w:ascii="Times New Roman" w:eastAsia="Times New Roman" w:hAnsi="Times New Roman" w:cs="Times New Roman"/>
                <w:color w:val="000000"/>
              </w:rPr>
              <w:t xml:space="preserve"> = 3.00,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 .003</w:t>
            </w:r>
          </w:p>
        </w:tc>
        <w:tc>
          <w:tcPr>
            <w:tcW w:w="1940" w:type="dxa"/>
            <w:tcBorders>
              <w:top w:val="nil"/>
              <w:left w:val="nil"/>
              <w:bottom w:val="nil"/>
              <w:right w:val="nil"/>
            </w:tcBorders>
            <w:vAlign w:val="center"/>
          </w:tcPr>
          <w:p w14:paraId="3AC672E6"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z</w:t>
            </w:r>
            <w:r>
              <w:rPr>
                <w:rFonts w:ascii="Times New Roman" w:eastAsia="Times New Roman" w:hAnsi="Times New Roman" w:cs="Times New Roman"/>
                <w:color w:val="000000"/>
              </w:rPr>
              <w:t xml:space="preserve"> = 5.51,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w:t>
            </w:r>
          </w:p>
        </w:tc>
      </w:tr>
      <w:tr w:rsidR="00391B4B" w14:paraId="0E11A03C" w14:textId="77777777">
        <w:trPr>
          <w:trHeight w:val="315"/>
        </w:trPr>
        <w:tc>
          <w:tcPr>
            <w:tcW w:w="1120" w:type="dxa"/>
            <w:vMerge/>
            <w:tcBorders>
              <w:top w:val="nil"/>
              <w:left w:val="nil"/>
              <w:bottom w:val="nil"/>
              <w:right w:val="nil"/>
            </w:tcBorders>
            <w:vAlign w:val="center"/>
          </w:tcPr>
          <w:p w14:paraId="37E71C61"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683" w:type="dxa"/>
            <w:vMerge/>
            <w:tcBorders>
              <w:top w:val="nil"/>
              <w:left w:val="nil"/>
              <w:bottom w:val="nil"/>
              <w:right w:val="nil"/>
            </w:tcBorders>
            <w:vAlign w:val="center"/>
          </w:tcPr>
          <w:p w14:paraId="38389645"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597" w:type="dxa"/>
            <w:tcBorders>
              <w:top w:val="nil"/>
              <w:left w:val="nil"/>
              <w:bottom w:val="nil"/>
              <w:right w:val="nil"/>
            </w:tcBorders>
            <w:vAlign w:val="center"/>
          </w:tcPr>
          <w:p w14:paraId="6DE9B785"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Protein powder</w:t>
            </w:r>
          </w:p>
        </w:tc>
        <w:tc>
          <w:tcPr>
            <w:tcW w:w="1620" w:type="dxa"/>
            <w:tcBorders>
              <w:top w:val="nil"/>
              <w:left w:val="nil"/>
              <w:bottom w:val="nil"/>
              <w:right w:val="nil"/>
            </w:tcBorders>
            <w:vAlign w:val="center"/>
          </w:tcPr>
          <w:p w14:paraId="3A325D15" w14:textId="3562958D"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vs.</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36%</w:t>
            </w:r>
          </w:p>
        </w:tc>
        <w:tc>
          <w:tcPr>
            <w:tcW w:w="2160" w:type="dxa"/>
            <w:tcBorders>
              <w:top w:val="nil"/>
              <w:left w:val="nil"/>
              <w:bottom w:val="nil"/>
              <w:right w:val="nil"/>
            </w:tcBorders>
            <w:vAlign w:val="center"/>
          </w:tcPr>
          <w:p w14:paraId="3929BA88" w14:textId="689D4DBF"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vs.</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73%</w:t>
            </w:r>
          </w:p>
        </w:tc>
        <w:tc>
          <w:tcPr>
            <w:tcW w:w="1980" w:type="dxa"/>
            <w:gridSpan w:val="2"/>
            <w:tcBorders>
              <w:top w:val="nil"/>
              <w:left w:val="nil"/>
              <w:bottom w:val="nil"/>
              <w:right w:val="nil"/>
            </w:tcBorders>
            <w:vAlign w:val="center"/>
          </w:tcPr>
          <w:p w14:paraId="10E5CD53"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z</w:t>
            </w:r>
            <w:r>
              <w:rPr>
                <w:rFonts w:ascii="Times New Roman" w:eastAsia="Times New Roman" w:hAnsi="Times New Roman" w:cs="Times New Roman"/>
                <w:color w:val="000000"/>
              </w:rPr>
              <w:t xml:space="preserve"> = 5.59,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 .005</w:t>
            </w:r>
          </w:p>
        </w:tc>
        <w:tc>
          <w:tcPr>
            <w:tcW w:w="1940" w:type="dxa"/>
            <w:tcBorders>
              <w:top w:val="nil"/>
              <w:left w:val="nil"/>
              <w:bottom w:val="nil"/>
              <w:right w:val="nil"/>
            </w:tcBorders>
            <w:vAlign w:val="center"/>
          </w:tcPr>
          <w:p w14:paraId="5B029B6E"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z</w:t>
            </w:r>
            <w:r>
              <w:rPr>
                <w:rFonts w:ascii="Times New Roman" w:eastAsia="Times New Roman" w:hAnsi="Times New Roman" w:cs="Times New Roman"/>
                <w:color w:val="000000"/>
              </w:rPr>
              <w:t xml:space="preserve"> = 4.49,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w:t>
            </w:r>
          </w:p>
        </w:tc>
      </w:tr>
      <w:tr w:rsidR="00391B4B" w14:paraId="7A529FAE" w14:textId="77777777">
        <w:trPr>
          <w:trHeight w:val="315"/>
        </w:trPr>
        <w:tc>
          <w:tcPr>
            <w:tcW w:w="1120" w:type="dxa"/>
            <w:vMerge/>
            <w:tcBorders>
              <w:top w:val="nil"/>
              <w:left w:val="nil"/>
              <w:bottom w:val="nil"/>
              <w:right w:val="nil"/>
            </w:tcBorders>
            <w:vAlign w:val="center"/>
          </w:tcPr>
          <w:p w14:paraId="553CC608"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683" w:type="dxa"/>
            <w:vMerge/>
            <w:tcBorders>
              <w:top w:val="nil"/>
              <w:left w:val="nil"/>
              <w:bottom w:val="nil"/>
              <w:right w:val="nil"/>
            </w:tcBorders>
            <w:vAlign w:val="center"/>
          </w:tcPr>
          <w:p w14:paraId="17860F81"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597" w:type="dxa"/>
            <w:tcBorders>
              <w:top w:val="nil"/>
              <w:left w:val="nil"/>
              <w:bottom w:val="nil"/>
              <w:right w:val="nil"/>
            </w:tcBorders>
            <w:vAlign w:val="center"/>
          </w:tcPr>
          <w:p w14:paraId="0D0D7F3D"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Paper towel</w:t>
            </w:r>
          </w:p>
        </w:tc>
        <w:tc>
          <w:tcPr>
            <w:tcW w:w="1620" w:type="dxa"/>
            <w:tcBorders>
              <w:top w:val="nil"/>
              <w:left w:val="nil"/>
              <w:bottom w:val="nil"/>
              <w:right w:val="nil"/>
            </w:tcBorders>
            <w:vAlign w:val="center"/>
          </w:tcPr>
          <w:p w14:paraId="59D7038D" w14:textId="08D3FA35"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vs.</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22%</w:t>
            </w:r>
          </w:p>
        </w:tc>
        <w:tc>
          <w:tcPr>
            <w:tcW w:w="2160" w:type="dxa"/>
            <w:tcBorders>
              <w:top w:val="nil"/>
              <w:left w:val="nil"/>
              <w:bottom w:val="nil"/>
              <w:right w:val="nil"/>
            </w:tcBorders>
            <w:vAlign w:val="center"/>
          </w:tcPr>
          <w:p w14:paraId="28B02180" w14:textId="47E14A85"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vs.</w:t>
            </w:r>
            <w:r w:rsidR="00663E9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75%</w:t>
            </w:r>
          </w:p>
        </w:tc>
        <w:tc>
          <w:tcPr>
            <w:tcW w:w="1980" w:type="dxa"/>
            <w:gridSpan w:val="2"/>
            <w:tcBorders>
              <w:top w:val="nil"/>
              <w:left w:val="nil"/>
              <w:bottom w:val="nil"/>
              <w:right w:val="nil"/>
            </w:tcBorders>
            <w:vAlign w:val="center"/>
          </w:tcPr>
          <w:p w14:paraId="0801E6D9"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z</w:t>
            </w:r>
            <w:r>
              <w:rPr>
                <w:rFonts w:ascii="Times New Roman" w:eastAsia="Times New Roman" w:hAnsi="Times New Roman" w:cs="Times New Roman"/>
                <w:color w:val="000000"/>
              </w:rPr>
              <w:t xml:space="preserve"> = 5.60,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w:t>
            </w:r>
          </w:p>
        </w:tc>
        <w:tc>
          <w:tcPr>
            <w:tcW w:w="1940" w:type="dxa"/>
            <w:tcBorders>
              <w:top w:val="nil"/>
              <w:left w:val="nil"/>
              <w:bottom w:val="nil"/>
              <w:right w:val="nil"/>
            </w:tcBorders>
            <w:vAlign w:val="center"/>
          </w:tcPr>
          <w:p w14:paraId="4C01C0EA"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z</w:t>
            </w:r>
            <w:r>
              <w:rPr>
                <w:rFonts w:ascii="Times New Roman" w:eastAsia="Times New Roman" w:hAnsi="Times New Roman" w:cs="Times New Roman"/>
                <w:color w:val="000000"/>
              </w:rPr>
              <w:t xml:space="preserve"> = 4.90,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w:t>
            </w:r>
          </w:p>
        </w:tc>
      </w:tr>
      <w:tr w:rsidR="00391B4B" w14:paraId="60B74B7F" w14:textId="77777777">
        <w:trPr>
          <w:trHeight w:val="612"/>
        </w:trPr>
        <w:tc>
          <w:tcPr>
            <w:tcW w:w="1120" w:type="dxa"/>
            <w:tcBorders>
              <w:top w:val="nil"/>
              <w:left w:val="nil"/>
              <w:bottom w:val="single" w:sz="4" w:space="0" w:color="000000"/>
              <w:right w:val="nil"/>
            </w:tcBorders>
            <w:vAlign w:val="center"/>
          </w:tcPr>
          <w:p w14:paraId="4EC4CBC6"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Findings</w:t>
            </w:r>
          </w:p>
        </w:tc>
        <w:tc>
          <w:tcPr>
            <w:tcW w:w="11980" w:type="dxa"/>
            <w:gridSpan w:val="7"/>
            <w:tcBorders>
              <w:top w:val="nil"/>
              <w:left w:val="nil"/>
              <w:bottom w:val="single" w:sz="4" w:space="0" w:color="000000"/>
              <w:right w:val="nil"/>
            </w:tcBorders>
            <w:vAlign w:val="center"/>
          </w:tcPr>
          <w:p w14:paraId="6ECA449E"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Salient efficacy (vs. eco-friendliness) evaluation criterion increases preference for product with complex (vs. simple) package design. </w:t>
            </w:r>
          </w:p>
        </w:tc>
      </w:tr>
      <w:tr w:rsidR="00391B4B" w14:paraId="2671CCA0" w14:textId="77777777">
        <w:trPr>
          <w:trHeight w:val="945"/>
        </w:trPr>
        <w:tc>
          <w:tcPr>
            <w:tcW w:w="1120" w:type="dxa"/>
            <w:vMerge w:val="restart"/>
            <w:tcBorders>
              <w:top w:val="nil"/>
              <w:left w:val="nil"/>
              <w:bottom w:val="nil"/>
              <w:right w:val="nil"/>
            </w:tcBorders>
            <w:vAlign w:val="center"/>
          </w:tcPr>
          <w:p w14:paraId="72D828C4"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3a</w:t>
            </w:r>
          </w:p>
        </w:tc>
        <w:tc>
          <w:tcPr>
            <w:tcW w:w="1683" w:type="dxa"/>
            <w:vMerge w:val="restart"/>
            <w:tcBorders>
              <w:top w:val="nil"/>
              <w:left w:val="nil"/>
              <w:bottom w:val="nil"/>
              <w:right w:val="nil"/>
            </w:tcBorders>
            <w:vAlign w:val="center"/>
          </w:tcPr>
          <w:p w14:paraId="69A0DB0A"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204 U.S. Prolific Participants</w:t>
            </w:r>
          </w:p>
        </w:tc>
        <w:tc>
          <w:tcPr>
            <w:tcW w:w="2597" w:type="dxa"/>
            <w:tcBorders>
              <w:top w:val="nil"/>
              <w:left w:val="nil"/>
              <w:bottom w:val="nil"/>
              <w:right w:val="nil"/>
            </w:tcBorders>
            <w:vAlign w:val="center"/>
          </w:tcPr>
          <w:p w14:paraId="5B0007CA"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DVs measured </w:t>
            </w:r>
            <w:r w:rsidR="006B6CF1">
              <w:rPr>
                <w:rFonts w:ascii="Times New Roman" w:hAnsi="Times New Roman" w:cs="Times New Roman" w:hint="eastAsia"/>
                <w:color w:val="000000"/>
              </w:rPr>
              <w:br/>
            </w:r>
            <w:r>
              <w:rPr>
                <w:rFonts w:ascii="Times New Roman" w:eastAsia="Times New Roman" w:hAnsi="Times New Roman" w:cs="Times New Roman"/>
                <w:color w:val="000000"/>
              </w:rPr>
              <w:t xml:space="preserve">between-subjects </w:t>
            </w:r>
          </w:p>
          <w:p w14:paraId="2B37C592"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Replicate: soap</w:t>
            </w:r>
          </w:p>
        </w:tc>
        <w:tc>
          <w:tcPr>
            <w:tcW w:w="1620" w:type="dxa"/>
            <w:tcBorders>
              <w:top w:val="nil"/>
              <w:left w:val="nil"/>
              <w:bottom w:val="nil"/>
              <w:right w:val="nil"/>
            </w:tcBorders>
            <w:vAlign w:val="center"/>
          </w:tcPr>
          <w:p w14:paraId="15A34F2E"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Complex design</w:t>
            </w:r>
          </w:p>
        </w:tc>
        <w:tc>
          <w:tcPr>
            <w:tcW w:w="2160" w:type="dxa"/>
            <w:tcBorders>
              <w:top w:val="nil"/>
              <w:left w:val="nil"/>
              <w:bottom w:val="nil"/>
              <w:right w:val="nil"/>
            </w:tcBorders>
            <w:vAlign w:val="center"/>
          </w:tcPr>
          <w:p w14:paraId="352142B9"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Simple design</w:t>
            </w:r>
          </w:p>
        </w:tc>
        <w:tc>
          <w:tcPr>
            <w:tcW w:w="1980" w:type="dxa"/>
            <w:gridSpan w:val="2"/>
            <w:tcBorders>
              <w:top w:val="nil"/>
              <w:left w:val="nil"/>
              <w:bottom w:val="nil"/>
              <w:right w:val="nil"/>
            </w:tcBorders>
            <w:vAlign w:val="center"/>
          </w:tcPr>
          <w:p w14:paraId="580970B9" w14:textId="77777777" w:rsidR="00391B4B" w:rsidRDefault="00391B4B">
            <w:pPr>
              <w:spacing w:after="0" w:line="240" w:lineRule="auto"/>
              <w:jc w:val="center"/>
              <w:rPr>
                <w:rFonts w:ascii="Times New Roman" w:eastAsia="Times New Roman" w:hAnsi="Times New Roman" w:cs="Times New Roman"/>
                <w:b/>
                <w:color w:val="000000"/>
              </w:rPr>
            </w:pPr>
          </w:p>
        </w:tc>
        <w:tc>
          <w:tcPr>
            <w:tcW w:w="1940" w:type="dxa"/>
            <w:tcBorders>
              <w:top w:val="nil"/>
              <w:left w:val="nil"/>
              <w:bottom w:val="nil"/>
              <w:right w:val="nil"/>
            </w:tcBorders>
            <w:vAlign w:val="center"/>
          </w:tcPr>
          <w:p w14:paraId="7D3647EA" w14:textId="77777777" w:rsidR="00391B4B" w:rsidRDefault="00391B4B">
            <w:pPr>
              <w:spacing w:after="0" w:line="240" w:lineRule="auto"/>
              <w:jc w:val="center"/>
              <w:rPr>
                <w:rFonts w:ascii="Times New Roman" w:eastAsia="Times New Roman" w:hAnsi="Times New Roman" w:cs="Times New Roman"/>
              </w:rPr>
            </w:pPr>
          </w:p>
        </w:tc>
      </w:tr>
      <w:tr w:rsidR="00391B4B" w14:paraId="639427FC" w14:textId="77777777">
        <w:trPr>
          <w:trHeight w:val="630"/>
        </w:trPr>
        <w:tc>
          <w:tcPr>
            <w:tcW w:w="1120" w:type="dxa"/>
            <w:vMerge/>
            <w:tcBorders>
              <w:top w:val="nil"/>
              <w:left w:val="nil"/>
              <w:bottom w:val="nil"/>
              <w:right w:val="nil"/>
            </w:tcBorders>
            <w:vAlign w:val="center"/>
          </w:tcPr>
          <w:p w14:paraId="76C3F043"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83" w:type="dxa"/>
            <w:vMerge/>
            <w:tcBorders>
              <w:top w:val="nil"/>
              <w:left w:val="nil"/>
              <w:bottom w:val="nil"/>
              <w:right w:val="nil"/>
            </w:tcBorders>
            <w:vAlign w:val="center"/>
          </w:tcPr>
          <w:p w14:paraId="55E527E2"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597" w:type="dxa"/>
            <w:tcBorders>
              <w:top w:val="nil"/>
              <w:left w:val="nil"/>
              <w:bottom w:val="nil"/>
              <w:right w:val="nil"/>
            </w:tcBorders>
            <w:vAlign w:val="center"/>
          </w:tcPr>
          <w:p w14:paraId="5337F85F" w14:textId="77777777" w:rsidR="00391B4B" w:rsidRDefault="006B6CF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DV: Purchase </w:t>
            </w:r>
            <w:r>
              <w:rPr>
                <w:rFonts w:ascii="Times New Roman" w:hAnsi="Times New Roman" w:cs="Times New Roman" w:hint="eastAsia"/>
                <w:color w:val="000000"/>
              </w:rPr>
              <w:t>i</w:t>
            </w:r>
            <w:r w:rsidR="006E2B95">
              <w:rPr>
                <w:rFonts w:ascii="Times New Roman" w:eastAsia="Times New Roman" w:hAnsi="Times New Roman" w:cs="Times New Roman"/>
                <w:color w:val="000000"/>
              </w:rPr>
              <w:t xml:space="preserve">ntention </w:t>
            </w:r>
            <w:r w:rsidR="006E2B95">
              <w:rPr>
                <w:rFonts w:ascii="Times New Roman" w:eastAsia="Times New Roman" w:hAnsi="Times New Roman" w:cs="Times New Roman"/>
                <w:color w:val="000000"/>
              </w:rPr>
              <w:br/>
              <w:t>(1–7)</w:t>
            </w:r>
          </w:p>
        </w:tc>
        <w:tc>
          <w:tcPr>
            <w:tcW w:w="1620" w:type="dxa"/>
            <w:tcBorders>
              <w:top w:val="nil"/>
              <w:left w:val="nil"/>
              <w:bottom w:val="nil"/>
              <w:right w:val="nil"/>
            </w:tcBorders>
            <w:vAlign w:val="center"/>
          </w:tcPr>
          <w:p w14:paraId="2540243D"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5.29 (1.51)</w:t>
            </w:r>
          </w:p>
        </w:tc>
        <w:tc>
          <w:tcPr>
            <w:tcW w:w="2160" w:type="dxa"/>
            <w:tcBorders>
              <w:top w:val="nil"/>
              <w:left w:val="nil"/>
              <w:bottom w:val="nil"/>
              <w:right w:val="nil"/>
            </w:tcBorders>
            <w:vAlign w:val="center"/>
          </w:tcPr>
          <w:p w14:paraId="28BAF5D4"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4.43 (1.73)</w:t>
            </w:r>
          </w:p>
        </w:tc>
        <w:tc>
          <w:tcPr>
            <w:tcW w:w="3920" w:type="dxa"/>
            <w:gridSpan w:val="3"/>
            <w:tcBorders>
              <w:top w:val="nil"/>
              <w:left w:val="nil"/>
              <w:bottom w:val="nil"/>
              <w:right w:val="nil"/>
            </w:tcBorders>
            <w:vAlign w:val="center"/>
          </w:tcPr>
          <w:p w14:paraId="27758C4D"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F</w:t>
            </w:r>
            <w:r>
              <w:rPr>
                <w:rFonts w:ascii="Times New Roman" w:eastAsia="Times New Roman" w:hAnsi="Times New Roman" w:cs="Times New Roman"/>
                <w:color w:val="000000"/>
              </w:rPr>
              <w:t xml:space="preserve">(1, 202) = 14.45,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 </w:t>
            </w:r>
            <w:r>
              <w:rPr>
                <w:rFonts w:ascii="Times New Roman" w:eastAsia="Times New Roman" w:hAnsi="Times New Roman" w:cs="Times New Roman"/>
                <w:i/>
                <w:color w:val="000000"/>
              </w:rPr>
              <w:t>d</w:t>
            </w:r>
            <w:r>
              <w:rPr>
                <w:rFonts w:ascii="Times New Roman" w:eastAsia="Times New Roman" w:hAnsi="Times New Roman" w:cs="Times New Roman"/>
                <w:color w:val="000000"/>
              </w:rPr>
              <w:t xml:space="preserve"> = .53</w:t>
            </w:r>
          </w:p>
        </w:tc>
      </w:tr>
      <w:tr w:rsidR="00391B4B" w14:paraId="3F51CBEC" w14:textId="77777777">
        <w:trPr>
          <w:trHeight w:val="571"/>
        </w:trPr>
        <w:tc>
          <w:tcPr>
            <w:tcW w:w="1120" w:type="dxa"/>
            <w:vMerge/>
            <w:tcBorders>
              <w:top w:val="nil"/>
              <w:left w:val="nil"/>
              <w:bottom w:val="nil"/>
              <w:right w:val="nil"/>
            </w:tcBorders>
            <w:vAlign w:val="center"/>
          </w:tcPr>
          <w:p w14:paraId="45CEC95C"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683" w:type="dxa"/>
            <w:vMerge/>
            <w:tcBorders>
              <w:top w:val="nil"/>
              <w:left w:val="nil"/>
              <w:bottom w:val="nil"/>
              <w:right w:val="nil"/>
            </w:tcBorders>
            <w:vAlign w:val="center"/>
          </w:tcPr>
          <w:p w14:paraId="290FADF5"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597" w:type="dxa"/>
            <w:tcBorders>
              <w:top w:val="nil"/>
              <w:left w:val="nil"/>
              <w:bottom w:val="nil"/>
              <w:right w:val="nil"/>
            </w:tcBorders>
            <w:vAlign w:val="center"/>
          </w:tcPr>
          <w:p w14:paraId="59915A2F"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Mediator: Tangible resource usage perception (1–7)</w:t>
            </w:r>
          </w:p>
        </w:tc>
        <w:tc>
          <w:tcPr>
            <w:tcW w:w="1620" w:type="dxa"/>
            <w:tcBorders>
              <w:top w:val="nil"/>
              <w:left w:val="nil"/>
              <w:bottom w:val="nil"/>
              <w:right w:val="nil"/>
            </w:tcBorders>
            <w:vAlign w:val="center"/>
          </w:tcPr>
          <w:p w14:paraId="383D902C"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5.01 (1.05)</w:t>
            </w:r>
          </w:p>
        </w:tc>
        <w:tc>
          <w:tcPr>
            <w:tcW w:w="2160" w:type="dxa"/>
            <w:tcBorders>
              <w:top w:val="nil"/>
              <w:left w:val="nil"/>
              <w:bottom w:val="nil"/>
              <w:right w:val="nil"/>
            </w:tcBorders>
            <w:vAlign w:val="center"/>
          </w:tcPr>
          <w:p w14:paraId="2CD0AC52"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3.92 (1.15)</w:t>
            </w:r>
          </w:p>
        </w:tc>
        <w:tc>
          <w:tcPr>
            <w:tcW w:w="3920" w:type="dxa"/>
            <w:gridSpan w:val="3"/>
            <w:tcBorders>
              <w:top w:val="nil"/>
              <w:left w:val="nil"/>
              <w:bottom w:val="nil"/>
              <w:right w:val="nil"/>
            </w:tcBorders>
            <w:vAlign w:val="center"/>
          </w:tcPr>
          <w:p w14:paraId="5C6F9270"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F</w:t>
            </w:r>
            <w:r>
              <w:rPr>
                <w:rFonts w:ascii="Times New Roman" w:eastAsia="Times New Roman" w:hAnsi="Times New Roman" w:cs="Times New Roman"/>
                <w:color w:val="000000"/>
              </w:rPr>
              <w:t xml:space="preserve">(1, 202) = 50.34,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 </w:t>
            </w:r>
            <w:r>
              <w:rPr>
                <w:rFonts w:ascii="Times New Roman" w:eastAsia="Times New Roman" w:hAnsi="Times New Roman" w:cs="Times New Roman"/>
                <w:i/>
                <w:color w:val="000000"/>
              </w:rPr>
              <w:t>d</w:t>
            </w:r>
            <w:r>
              <w:rPr>
                <w:rFonts w:ascii="Times New Roman" w:eastAsia="Times New Roman" w:hAnsi="Times New Roman" w:cs="Times New Roman"/>
                <w:color w:val="000000"/>
              </w:rPr>
              <w:t xml:space="preserve"> = .99</w:t>
            </w:r>
          </w:p>
        </w:tc>
      </w:tr>
      <w:tr w:rsidR="00391B4B" w14:paraId="7D090442" w14:textId="77777777">
        <w:trPr>
          <w:trHeight w:val="99"/>
        </w:trPr>
        <w:tc>
          <w:tcPr>
            <w:tcW w:w="1120" w:type="dxa"/>
            <w:vMerge/>
            <w:tcBorders>
              <w:top w:val="nil"/>
              <w:left w:val="nil"/>
              <w:bottom w:val="nil"/>
              <w:right w:val="nil"/>
            </w:tcBorders>
            <w:vAlign w:val="center"/>
          </w:tcPr>
          <w:p w14:paraId="4008F287"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683" w:type="dxa"/>
            <w:vMerge/>
            <w:tcBorders>
              <w:top w:val="nil"/>
              <w:left w:val="nil"/>
              <w:bottom w:val="nil"/>
              <w:right w:val="nil"/>
            </w:tcBorders>
            <w:vAlign w:val="center"/>
          </w:tcPr>
          <w:p w14:paraId="324CFE0F"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597" w:type="dxa"/>
            <w:tcBorders>
              <w:top w:val="nil"/>
              <w:left w:val="nil"/>
              <w:bottom w:val="nil"/>
              <w:right w:val="nil"/>
            </w:tcBorders>
            <w:vAlign w:val="center"/>
          </w:tcPr>
          <w:p w14:paraId="4EBB5732"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Mediator: Efficacy perception (1–7) </w:t>
            </w:r>
          </w:p>
        </w:tc>
        <w:tc>
          <w:tcPr>
            <w:tcW w:w="1620" w:type="dxa"/>
            <w:tcBorders>
              <w:top w:val="nil"/>
              <w:left w:val="nil"/>
              <w:bottom w:val="nil"/>
              <w:right w:val="nil"/>
            </w:tcBorders>
            <w:vAlign w:val="center"/>
          </w:tcPr>
          <w:p w14:paraId="040CF987"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5.33 (1.02)</w:t>
            </w:r>
          </w:p>
        </w:tc>
        <w:tc>
          <w:tcPr>
            <w:tcW w:w="2160" w:type="dxa"/>
            <w:tcBorders>
              <w:top w:val="nil"/>
              <w:left w:val="nil"/>
              <w:bottom w:val="nil"/>
              <w:right w:val="nil"/>
            </w:tcBorders>
            <w:vAlign w:val="center"/>
          </w:tcPr>
          <w:p w14:paraId="00CD53CA"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4.57 (1.23)</w:t>
            </w:r>
          </w:p>
        </w:tc>
        <w:tc>
          <w:tcPr>
            <w:tcW w:w="3920" w:type="dxa"/>
            <w:gridSpan w:val="3"/>
            <w:tcBorders>
              <w:top w:val="nil"/>
              <w:left w:val="nil"/>
              <w:bottom w:val="nil"/>
              <w:right w:val="nil"/>
            </w:tcBorders>
            <w:vAlign w:val="center"/>
          </w:tcPr>
          <w:p w14:paraId="60141225"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F</w:t>
            </w:r>
            <w:r>
              <w:rPr>
                <w:rFonts w:ascii="Times New Roman" w:eastAsia="Times New Roman" w:hAnsi="Times New Roman" w:cs="Times New Roman"/>
                <w:color w:val="000000"/>
              </w:rPr>
              <w:t xml:space="preserve">(1, 202) = 20.58,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 </w:t>
            </w:r>
            <w:r>
              <w:rPr>
                <w:rFonts w:ascii="Times New Roman" w:eastAsia="Times New Roman" w:hAnsi="Times New Roman" w:cs="Times New Roman"/>
                <w:i/>
                <w:color w:val="000000"/>
              </w:rPr>
              <w:t>d</w:t>
            </w:r>
            <w:r>
              <w:rPr>
                <w:rFonts w:ascii="Times New Roman" w:eastAsia="Times New Roman" w:hAnsi="Times New Roman" w:cs="Times New Roman"/>
                <w:color w:val="000000"/>
              </w:rPr>
              <w:t xml:space="preserve"> = .66</w:t>
            </w:r>
          </w:p>
        </w:tc>
      </w:tr>
      <w:tr w:rsidR="00391B4B" w14:paraId="5E3209EC" w14:textId="77777777">
        <w:trPr>
          <w:trHeight w:val="675"/>
        </w:trPr>
        <w:tc>
          <w:tcPr>
            <w:tcW w:w="1120" w:type="dxa"/>
            <w:tcBorders>
              <w:top w:val="nil"/>
              <w:left w:val="nil"/>
              <w:bottom w:val="single" w:sz="4" w:space="0" w:color="000000"/>
              <w:right w:val="nil"/>
            </w:tcBorders>
            <w:vAlign w:val="center"/>
          </w:tcPr>
          <w:p w14:paraId="5DF55614"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Findings</w:t>
            </w:r>
          </w:p>
        </w:tc>
        <w:tc>
          <w:tcPr>
            <w:tcW w:w="11980" w:type="dxa"/>
            <w:gridSpan w:val="7"/>
            <w:tcBorders>
              <w:top w:val="nil"/>
              <w:left w:val="nil"/>
              <w:bottom w:val="single" w:sz="4" w:space="0" w:color="000000"/>
              <w:right w:val="nil"/>
            </w:tcBorders>
            <w:vAlign w:val="center"/>
          </w:tcPr>
          <w:p w14:paraId="27F43215"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Visually complex (vs. simple) designs can influence perceptions of efficacy by increasing (vs. decreasing) perceptions of tangible production resource usage, influencing purchase intentions when consumers have an efficacy evaluation criterion.</w:t>
            </w:r>
          </w:p>
        </w:tc>
      </w:tr>
      <w:tr w:rsidR="00391B4B" w14:paraId="087F4A38" w14:textId="77777777">
        <w:trPr>
          <w:trHeight w:val="945"/>
        </w:trPr>
        <w:tc>
          <w:tcPr>
            <w:tcW w:w="1120" w:type="dxa"/>
            <w:vMerge w:val="restart"/>
            <w:tcBorders>
              <w:top w:val="nil"/>
              <w:left w:val="nil"/>
              <w:bottom w:val="nil"/>
              <w:right w:val="nil"/>
            </w:tcBorders>
            <w:vAlign w:val="center"/>
          </w:tcPr>
          <w:p w14:paraId="40B388B6"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3b</w:t>
            </w:r>
          </w:p>
        </w:tc>
        <w:tc>
          <w:tcPr>
            <w:tcW w:w="1683" w:type="dxa"/>
            <w:vMerge w:val="restart"/>
            <w:tcBorders>
              <w:top w:val="nil"/>
              <w:left w:val="nil"/>
              <w:bottom w:val="nil"/>
              <w:right w:val="nil"/>
            </w:tcBorders>
            <w:vAlign w:val="center"/>
          </w:tcPr>
          <w:p w14:paraId="42909020"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205 U.S. Prolific Participants</w:t>
            </w:r>
          </w:p>
        </w:tc>
        <w:tc>
          <w:tcPr>
            <w:tcW w:w="2597" w:type="dxa"/>
            <w:tcBorders>
              <w:top w:val="nil"/>
              <w:left w:val="nil"/>
              <w:bottom w:val="nil"/>
              <w:right w:val="nil"/>
            </w:tcBorders>
            <w:vAlign w:val="center"/>
          </w:tcPr>
          <w:p w14:paraId="3EF5E594"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DVs measured </w:t>
            </w:r>
            <w:r w:rsidR="006B6CF1">
              <w:rPr>
                <w:rFonts w:ascii="Times New Roman" w:hAnsi="Times New Roman" w:cs="Times New Roman" w:hint="eastAsia"/>
                <w:color w:val="000000"/>
              </w:rPr>
              <w:br/>
            </w:r>
            <w:r>
              <w:rPr>
                <w:rFonts w:ascii="Times New Roman" w:eastAsia="Times New Roman" w:hAnsi="Times New Roman" w:cs="Times New Roman"/>
                <w:color w:val="000000"/>
              </w:rPr>
              <w:t xml:space="preserve">between-subjects </w:t>
            </w:r>
          </w:p>
          <w:p w14:paraId="7A754351"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Replicate: soap</w:t>
            </w:r>
          </w:p>
        </w:tc>
        <w:tc>
          <w:tcPr>
            <w:tcW w:w="1620" w:type="dxa"/>
            <w:tcBorders>
              <w:top w:val="nil"/>
              <w:left w:val="nil"/>
              <w:bottom w:val="nil"/>
              <w:right w:val="nil"/>
            </w:tcBorders>
            <w:vAlign w:val="center"/>
          </w:tcPr>
          <w:p w14:paraId="7FA4717C"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Complex design</w:t>
            </w:r>
          </w:p>
        </w:tc>
        <w:tc>
          <w:tcPr>
            <w:tcW w:w="2160" w:type="dxa"/>
            <w:tcBorders>
              <w:top w:val="nil"/>
              <w:left w:val="nil"/>
              <w:bottom w:val="nil"/>
              <w:right w:val="nil"/>
            </w:tcBorders>
            <w:vAlign w:val="center"/>
          </w:tcPr>
          <w:p w14:paraId="62A29403"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Simple design</w:t>
            </w:r>
          </w:p>
        </w:tc>
        <w:tc>
          <w:tcPr>
            <w:tcW w:w="1980" w:type="dxa"/>
            <w:gridSpan w:val="2"/>
            <w:tcBorders>
              <w:top w:val="nil"/>
              <w:left w:val="nil"/>
              <w:bottom w:val="nil"/>
              <w:right w:val="nil"/>
            </w:tcBorders>
            <w:vAlign w:val="center"/>
          </w:tcPr>
          <w:p w14:paraId="12151B92" w14:textId="77777777" w:rsidR="00391B4B" w:rsidRDefault="00391B4B">
            <w:pPr>
              <w:spacing w:after="0" w:line="240" w:lineRule="auto"/>
              <w:jc w:val="center"/>
              <w:rPr>
                <w:rFonts w:ascii="Times New Roman" w:eastAsia="Times New Roman" w:hAnsi="Times New Roman" w:cs="Times New Roman"/>
                <w:b/>
                <w:color w:val="000000"/>
              </w:rPr>
            </w:pPr>
          </w:p>
        </w:tc>
        <w:tc>
          <w:tcPr>
            <w:tcW w:w="1940" w:type="dxa"/>
            <w:tcBorders>
              <w:top w:val="nil"/>
              <w:left w:val="nil"/>
              <w:bottom w:val="nil"/>
              <w:right w:val="nil"/>
            </w:tcBorders>
            <w:vAlign w:val="center"/>
          </w:tcPr>
          <w:p w14:paraId="4ECF79C5" w14:textId="77777777" w:rsidR="00391B4B" w:rsidRDefault="00391B4B">
            <w:pPr>
              <w:spacing w:after="0" w:line="240" w:lineRule="auto"/>
              <w:jc w:val="center"/>
              <w:rPr>
                <w:rFonts w:ascii="Times New Roman" w:eastAsia="Times New Roman" w:hAnsi="Times New Roman" w:cs="Times New Roman"/>
              </w:rPr>
            </w:pPr>
          </w:p>
        </w:tc>
      </w:tr>
      <w:tr w:rsidR="00391B4B" w14:paraId="531A5465" w14:textId="77777777">
        <w:trPr>
          <w:trHeight w:val="630"/>
        </w:trPr>
        <w:tc>
          <w:tcPr>
            <w:tcW w:w="1120" w:type="dxa"/>
            <w:vMerge/>
            <w:tcBorders>
              <w:top w:val="nil"/>
              <w:left w:val="nil"/>
              <w:bottom w:val="nil"/>
              <w:right w:val="nil"/>
            </w:tcBorders>
            <w:vAlign w:val="center"/>
          </w:tcPr>
          <w:p w14:paraId="164EFD0B"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83" w:type="dxa"/>
            <w:vMerge/>
            <w:tcBorders>
              <w:top w:val="nil"/>
              <w:left w:val="nil"/>
              <w:bottom w:val="nil"/>
              <w:right w:val="nil"/>
            </w:tcBorders>
            <w:vAlign w:val="center"/>
          </w:tcPr>
          <w:p w14:paraId="6F4E5966"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597" w:type="dxa"/>
            <w:tcBorders>
              <w:top w:val="nil"/>
              <w:left w:val="nil"/>
              <w:bottom w:val="nil"/>
              <w:right w:val="nil"/>
            </w:tcBorders>
            <w:vAlign w:val="center"/>
          </w:tcPr>
          <w:p w14:paraId="2BC8860F" w14:textId="77777777" w:rsidR="00391B4B" w:rsidRDefault="006E2B95" w:rsidP="006B6CF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DV: Purchase </w:t>
            </w:r>
            <w:r w:rsidR="006B6CF1">
              <w:rPr>
                <w:rFonts w:ascii="Times New Roman" w:hAnsi="Times New Roman" w:cs="Times New Roman" w:hint="eastAsia"/>
                <w:color w:val="000000"/>
              </w:rPr>
              <w:t>i</w:t>
            </w:r>
            <w:r>
              <w:rPr>
                <w:rFonts w:ascii="Times New Roman" w:eastAsia="Times New Roman" w:hAnsi="Times New Roman" w:cs="Times New Roman"/>
                <w:color w:val="000000"/>
              </w:rPr>
              <w:t xml:space="preserve">ntention </w:t>
            </w:r>
            <w:r>
              <w:rPr>
                <w:rFonts w:ascii="Times New Roman" w:eastAsia="Times New Roman" w:hAnsi="Times New Roman" w:cs="Times New Roman"/>
                <w:color w:val="000000"/>
              </w:rPr>
              <w:br/>
              <w:t>(1–7)</w:t>
            </w:r>
          </w:p>
        </w:tc>
        <w:tc>
          <w:tcPr>
            <w:tcW w:w="1620" w:type="dxa"/>
            <w:tcBorders>
              <w:top w:val="nil"/>
              <w:left w:val="nil"/>
              <w:bottom w:val="nil"/>
              <w:right w:val="nil"/>
            </w:tcBorders>
            <w:vAlign w:val="center"/>
          </w:tcPr>
          <w:p w14:paraId="46CBA56C"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4.81 (1.70)</w:t>
            </w:r>
          </w:p>
        </w:tc>
        <w:tc>
          <w:tcPr>
            <w:tcW w:w="2160" w:type="dxa"/>
            <w:tcBorders>
              <w:top w:val="nil"/>
              <w:left w:val="nil"/>
              <w:bottom w:val="nil"/>
              <w:right w:val="nil"/>
            </w:tcBorders>
            <w:vAlign w:val="center"/>
          </w:tcPr>
          <w:p w14:paraId="0D95EE03"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5.78 (1.18)</w:t>
            </w:r>
          </w:p>
        </w:tc>
        <w:tc>
          <w:tcPr>
            <w:tcW w:w="3920" w:type="dxa"/>
            <w:gridSpan w:val="3"/>
            <w:tcBorders>
              <w:top w:val="nil"/>
              <w:left w:val="nil"/>
              <w:bottom w:val="nil"/>
              <w:right w:val="nil"/>
            </w:tcBorders>
            <w:vAlign w:val="center"/>
          </w:tcPr>
          <w:p w14:paraId="4BD8B165"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F</w:t>
            </w:r>
            <w:r>
              <w:rPr>
                <w:rFonts w:ascii="Times New Roman" w:eastAsia="Times New Roman" w:hAnsi="Times New Roman" w:cs="Times New Roman"/>
                <w:color w:val="000000"/>
              </w:rPr>
              <w:t xml:space="preserve">(1, 203) = 22.88,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 </w:t>
            </w:r>
            <w:r>
              <w:rPr>
                <w:rFonts w:ascii="Times New Roman" w:eastAsia="Times New Roman" w:hAnsi="Times New Roman" w:cs="Times New Roman"/>
                <w:i/>
                <w:color w:val="000000"/>
              </w:rPr>
              <w:t>d</w:t>
            </w:r>
            <w:r>
              <w:rPr>
                <w:rFonts w:ascii="Times New Roman" w:eastAsia="Times New Roman" w:hAnsi="Times New Roman" w:cs="Times New Roman"/>
                <w:color w:val="000000"/>
              </w:rPr>
              <w:t xml:space="preserve"> = .66</w:t>
            </w:r>
          </w:p>
        </w:tc>
      </w:tr>
      <w:tr w:rsidR="00391B4B" w14:paraId="5AF6869E" w14:textId="77777777">
        <w:trPr>
          <w:trHeight w:val="571"/>
        </w:trPr>
        <w:tc>
          <w:tcPr>
            <w:tcW w:w="1120" w:type="dxa"/>
            <w:vMerge/>
            <w:tcBorders>
              <w:top w:val="nil"/>
              <w:left w:val="nil"/>
              <w:bottom w:val="nil"/>
              <w:right w:val="nil"/>
            </w:tcBorders>
            <w:vAlign w:val="center"/>
          </w:tcPr>
          <w:p w14:paraId="34248554"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683" w:type="dxa"/>
            <w:vMerge/>
            <w:tcBorders>
              <w:top w:val="nil"/>
              <w:left w:val="nil"/>
              <w:bottom w:val="nil"/>
              <w:right w:val="nil"/>
            </w:tcBorders>
            <w:vAlign w:val="center"/>
          </w:tcPr>
          <w:p w14:paraId="781BAACC"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597" w:type="dxa"/>
            <w:tcBorders>
              <w:top w:val="nil"/>
              <w:left w:val="nil"/>
              <w:bottom w:val="nil"/>
              <w:right w:val="nil"/>
            </w:tcBorders>
            <w:vAlign w:val="center"/>
          </w:tcPr>
          <w:p w14:paraId="587458A8"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Mediator: Tangible resource usage perception (1–7)</w:t>
            </w:r>
          </w:p>
        </w:tc>
        <w:tc>
          <w:tcPr>
            <w:tcW w:w="1620" w:type="dxa"/>
            <w:tcBorders>
              <w:top w:val="nil"/>
              <w:left w:val="nil"/>
              <w:bottom w:val="nil"/>
              <w:right w:val="nil"/>
            </w:tcBorders>
            <w:vAlign w:val="center"/>
          </w:tcPr>
          <w:p w14:paraId="027A0B50"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4.86 (1.04)</w:t>
            </w:r>
          </w:p>
        </w:tc>
        <w:tc>
          <w:tcPr>
            <w:tcW w:w="2160" w:type="dxa"/>
            <w:tcBorders>
              <w:top w:val="nil"/>
              <w:left w:val="nil"/>
              <w:bottom w:val="nil"/>
              <w:right w:val="nil"/>
            </w:tcBorders>
            <w:vAlign w:val="center"/>
          </w:tcPr>
          <w:p w14:paraId="1F10AD38"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4.15 (1.44)</w:t>
            </w:r>
          </w:p>
        </w:tc>
        <w:tc>
          <w:tcPr>
            <w:tcW w:w="3920" w:type="dxa"/>
            <w:gridSpan w:val="3"/>
            <w:tcBorders>
              <w:top w:val="nil"/>
              <w:left w:val="nil"/>
              <w:bottom w:val="nil"/>
              <w:right w:val="nil"/>
            </w:tcBorders>
            <w:vAlign w:val="center"/>
          </w:tcPr>
          <w:p w14:paraId="5DD1F6D1"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F</w:t>
            </w:r>
            <w:r>
              <w:rPr>
                <w:rFonts w:ascii="Times New Roman" w:eastAsia="Times New Roman" w:hAnsi="Times New Roman" w:cs="Times New Roman"/>
                <w:color w:val="000000"/>
              </w:rPr>
              <w:t xml:space="preserve">(1, 203) = 16.39,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 </w:t>
            </w:r>
            <w:r>
              <w:rPr>
                <w:rFonts w:ascii="Times New Roman" w:eastAsia="Times New Roman" w:hAnsi="Times New Roman" w:cs="Times New Roman"/>
                <w:i/>
                <w:color w:val="000000"/>
              </w:rPr>
              <w:t>d</w:t>
            </w:r>
            <w:r>
              <w:rPr>
                <w:rFonts w:ascii="Times New Roman" w:eastAsia="Times New Roman" w:hAnsi="Times New Roman" w:cs="Times New Roman"/>
                <w:color w:val="000000"/>
              </w:rPr>
              <w:t xml:space="preserve"> = .57</w:t>
            </w:r>
          </w:p>
        </w:tc>
      </w:tr>
      <w:tr w:rsidR="00391B4B" w14:paraId="5A1A97B6" w14:textId="77777777">
        <w:trPr>
          <w:trHeight w:val="99"/>
        </w:trPr>
        <w:tc>
          <w:tcPr>
            <w:tcW w:w="1120" w:type="dxa"/>
            <w:vMerge/>
            <w:tcBorders>
              <w:top w:val="nil"/>
              <w:left w:val="nil"/>
              <w:bottom w:val="nil"/>
              <w:right w:val="nil"/>
            </w:tcBorders>
            <w:vAlign w:val="center"/>
          </w:tcPr>
          <w:p w14:paraId="3E973B4F"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683" w:type="dxa"/>
            <w:vMerge/>
            <w:tcBorders>
              <w:top w:val="nil"/>
              <w:left w:val="nil"/>
              <w:bottom w:val="nil"/>
              <w:right w:val="nil"/>
            </w:tcBorders>
            <w:vAlign w:val="center"/>
          </w:tcPr>
          <w:p w14:paraId="4ACB0C5B"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597" w:type="dxa"/>
            <w:tcBorders>
              <w:top w:val="nil"/>
              <w:left w:val="nil"/>
              <w:bottom w:val="nil"/>
              <w:right w:val="nil"/>
            </w:tcBorders>
            <w:vAlign w:val="center"/>
          </w:tcPr>
          <w:p w14:paraId="6AA5E3E9"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Mediator: Eco-friendliness perception (1–7)</w:t>
            </w:r>
          </w:p>
        </w:tc>
        <w:tc>
          <w:tcPr>
            <w:tcW w:w="1620" w:type="dxa"/>
            <w:tcBorders>
              <w:top w:val="nil"/>
              <w:left w:val="nil"/>
              <w:bottom w:val="nil"/>
              <w:right w:val="nil"/>
            </w:tcBorders>
            <w:vAlign w:val="center"/>
          </w:tcPr>
          <w:p w14:paraId="79254E36"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4.58 (1.34)</w:t>
            </w:r>
          </w:p>
        </w:tc>
        <w:tc>
          <w:tcPr>
            <w:tcW w:w="2160" w:type="dxa"/>
            <w:tcBorders>
              <w:top w:val="nil"/>
              <w:left w:val="nil"/>
              <w:bottom w:val="nil"/>
              <w:right w:val="nil"/>
            </w:tcBorders>
            <w:vAlign w:val="center"/>
          </w:tcPr>
          <w:p w14:paraId="27367564"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5.56 (.99)</w:t>
            </w:r>
          </w:p>
        </w:tc>
        <w:tc>
          <w:tcPr>
            <w:tcW w:w="3920" w:type="dxa"/>
            <w:gridSpan w:val="3"/>
            <w:tcBorders>
              <w:top w:val="nil"/>
              <w:left w:val="nil"/>
              <w:bottom w:val="nil"/>
              <w:right w:val="nil"/>
            </w:tcBorders>
            <w:vAlign w:val="center"/>
          </w:tcPr>
          <w:p w14:paraId="6F4235E5"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i/>
                <w:color w:val="000000"/>
              </w:rPr>
              <w:t>F</w:t>
            </w:r>
            <w:r>
              <w:rPr>
                <w:rFonts w:ascii="Times New Roman" w:eastAsia="Times New Roman" w:hAnsi="Times New Roman" w:cs="Times New Roman"/>
                <w:color w:val="000000"/>
              </w:rPr>
              <w:t xml:space="preserve">(1, 203) = 35.58,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 </w:t>
            </w:r>
            <w:r>
              <w:rPr>
                <w:rFonts w:ascii="Times New Roman" w:eastAsia="Times New Roman" w:hAnsi="Times New Roman" w:cs="Times New Roman"/>
                <w:i/>
                <w:color w:val="000000"/>
              </w:rPr>
              <w:t>d</w:t>
            </w:r>
            <w:r>
              <w:rPr>
                <w:rFonts w:ascii="Times New Roman" w:eastAsia="Times New Roman" w:hAnsi="Times New Roman" w:cs="Times New Roman"/>
                <w:color w:val="000000"/>
              </w:rPr>
              <w:t xml:space="preserve"> = .83</w:t>
            </w:r>
          </w:p>
        </w:tc>
      </w:tr>
      <w:tr w:rsidR="00391B4B" w14:paraId="2A7A3DF9" w14:textId="77777777">
        <w:trPr>
          <w:trHeight w:val="675"/>
        </w:trPr>
        <w:tc>
          <w:tcPr>
            <w:tcW w:w="1120" w:type="dxa"/>
            <w:tcBorders>
              <w:top w:val="nil"/>
              <w:left w:val="nil"/>
              <w:bottom w:val="single" w:sz="4" w:space="0" w:color="000000"/>
              <w:right w:val="nil"/>
            </w:tcBorders>
            <w:vAlign w:val="center"/>
          </w:tcPr>
          <w:p w14:paraId="493B152E"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Findings</w:t>
            </w:r>
          </w:p>
        </w:tc>
        <w:tc>
          <w:tcPr>
            <w:tcW w:w="11980" w:type="dxa"/>
            <w:gridSpan w:val="7"/>
            <w:tcBorders>
              <w:top w:val="nil"/>
              <w:left w:val="nil"/>
              <w:bottom w:val="single" w:sz="4" w:space="0" w:color="000000"/>
              <w:right w:val="nil"/>
            </w:tcBorders>
            <w:vAlign w:val="center"/>
          </w:tcPr>
          <w:p w14:paraId="7AA86D69" w14:textId="77777777" w:rsidR="00391B4B" w:rsidRDefault="006E2B95" w:rsidP="00512B6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Visually </w:t>
            </w:r>
            <w:r w:rsidR="00512B66">
              <w:rPr>
                <w:rFonts w:ascii="Times New Roman" w:hAnsi="Times New Roman" w:cs="Times New Roman" w:hint="eastAsia"/>
                <w:color w:val="000000"/>
              </w:rPr>
              <w:t>simple</w:t>
            </w:r>
            <w:r>
              <w:rPr>
                <w:rFonts w:ascii="Times New Roman" w:eastAsia="Times New Roman" w:hAnsi="Times New Roman" w:cs="Times New Roman"/>
                <w:color w:val="000000"/>
              </w:rPr>
              <w:t xml:space="preserve"> (vs. </w:t>
            </w:r>
            <w:r w:rsidR="00512B66">
              <w:rPr>
                <w:rFonts w:ascii="Times New Roman" w:hAnsi="Times New Roman" w:cs="Times New Roman" w:hint="eastAsia"/>
                <w:color w:val="000000"/>
              </w:rPr>
              <w:t>complex</w:t>
            </w:r>
            <w:r>
              <w:rPr>
                <w:rFonts w:ascii="Times New Roman" w:eastAsia="Times New Roman" w:hAnsi="Times New Roman" w:cs="Times New Roman"/>
                <w:color w:val="000000"/>
              </w:rPr>
              <w:t xml:space="preserve">) designs can influence perceptions of </w:t>
            </w:r>
            <w:r w:rsidR="00512B66">
              <w:rPr>
                <w:rFonts w:ascii="Times New Roman" w:hAnsi="Times New Roman" w:cs="Times New Roman" w:hint="eastAsia"/>
                <w:color w:val="000000"/>
              </w:rPr>
              <w:t>eco-friendliness</w:t>
            </w:r>
            <w:r>
              <w:rPr>
                <w:rFonts w:ascii="Times New Roman" w:eastAsia="Times New Roman" w:hAnsi="Times New Roman" w:cs="Times New Roman"/>
                <w:color w:val="000000"/>
              </w:rPr>
              <w:t xml:space="preserve"> by </w:t>
            </w:r>
            <w:r w:rsidR="00512B66">
              <w:rPr>
                <w:rFonts w:ascii="Times New Roman" w:hAnsi="Times New Roman" w:cs="Times New Roman" w:hint="eastAsia"/>
                <w:color w:val="000000"/>
              </w:rPr>
              <w:t>decreasing</w:t>
            </w:r>
            <w:r>
              <w:rPr>
                <w:rFonts w:ascii="Times New Roman" w:eastAsia="Times New Roman" w:hAnsi="Times New Roman" w:cs="Times New Roman"/>
                <w:color w:val="000000"/>
              </w:rPr>
              <w:t xml:space="preserve"> (vs. </w:t>
            </w:r>
            <w:r w:rsidR="00512B66">
              <w:rPr>
                <w:rFonts w:ascii="Times New Roman" w:hAnsi="Times New Roman" w:cs="Times New Roman" w:hint="eastAsia"/>
                <w:color w:val="000000"/>
              </w:rPr>
              <w:t>increasing</w:t>
            </w:r>
            <w:r>
              <w:rPr>
                <w:rFonts w:ascii="Times New Roman" w:eastAsia="Times New Roman" w:hAnsi="Times New Roman" w:cs="Times New Roman"/>
                <w:color w:val="000000"/>
              </w:rPr>
              <w:t xml:space="preserve">) perceptions of tangible production resource usage, influencing purchase intentions when consumers have an </w:t>
            </w:r>
            <w:r w:rsidR="00930295">
              <w:rPr>
                <w:rFonts w:ascii="Times New Roman" w:hAnsi="Times New Roman" w:cs="Times New Roman" w:hint="eastAsia"/>
                <w:color w:val="000000"/>
              </w:rPr>
              <w:t>eco-friendliness</w:t>
            </w:r>
            <w:r>
              <w:rPr>
                <w:rFonts w:ascii="Times New Roman" w:eastAsia="Times New Roman" w:hAnsi="Times New Roman" w:cs="Times New Roman"/>
                <w:color w:val="000000"/>
              </w:rPr>
              <w:t xml:space="preserve"> evaluation criterion.</w:t>
            </w:r>
          </w:p>
        </w:tc>
      </w:tr>
      <w:tr w:rsidR="00391B4B" w14:paraId="03C9A4DB" w14:textId="77777777">
        <w:trPr>
          <w:trHeight w:val="1005"/>
        </w:trPr>
        <w:tc>
          <w:tcPr>
            <w:tcW w:w="1120" w:type="dxa"/>
            <w:vMerge w:val="restart"/>
            <w:tcBorders>
              <w:top w:val="single" w:sz="4" w:space="0" w:color="000000"/>
              <w:left w:val="nil"/>
              <w:bottom w:val="nil"/>
              <w:right w:val="nil"/>
            </w:tcBorders>
            <w:vAlign w:val="center"/>
          </w:tcPr>
          <w:p w14:paraId="2EA8316E" w14:textId="77777777" w:rsidR="00391B4B" w:rsidRDefault="006E2B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4a</w:t>
            </w:r>
          </w:p>
        </w:tc>
        <w:tc>
          <w:tcPr>
            <w:tcW w:w="1683" w:type="dxa"/>
            <w:vMerge w:val="restart"/>
            <w:tcBorders>
              <w:top w:val="single" w:sz="4" w:space="0" w:color="000000"/>
              <w:left w:val="nil"/>
              <w:bottom w:val="nil"/>
              <w:right w:val="nil"/>
            </w:tcBorders>
            <w:vAlign w:val="center"/>
          </w:tcPr>
          <w:p w14:paraId="057D16BE" w14:textId="77777777" w:rsidR="00391B4B" w:rsidRDefault="006E2B9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401 U.S. Prolific Participants</w:t>
            </w:r>
          </w:p>
        </w:tc>
        <w:tc>
          <w:tcPr>
            <w:tcW w:w="2597" w:type="dxa"/>
            <w:tcBorders>
              <w:top w:val="single" w:sz="4" w:space="0" w:color="000000"/>
              <w:left w:val="nil"/>
              <w:bottom w:val="nil"/>
              <w:right w:val="nil"/>
            </w:tcBorders>
            <w:vAlign w:val="center"/>
          </w:tcPr>
          <w:p w14:paraId="2ADE18F8"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Replicate: soap</w:t>
            </w:r>
          </w:p>
        </w:tc>
        <w:tc>
          <w:tcPr>
            <w:tcW w:w="3780" w:type="dxa"/>
            <w:gridSpan w:val="2"/>
            <w:tcBorders>
              <w:top w:val="single" w:sz="4" w:space="0" w:color="000000"/>
              <w:left w:val="nil"/>
              <w:bottom w:val="nil"/>
              <w:right w:val="nil"/>
            </w:tcBorders>
            <w:vAlign w:val="center"/>
          </w:tcPr>
          <w:p w14:paraId="2570A070" w14:textId="77777777" w:rsidR="00391B4B" w:rsidRDefault="006E2B95" w:rsidP="0065105D">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Strong beliefs in lay theory </w:t>
            </w:r>
            <w:r>
              <w:rPr>
                <w:rFonts w:ascii="Times New Roman" w:eastAsia="Times New Roman" w:hAnsi="Times New Roman" w:cs="Times New Roman"/>
                <w:b/>
                <w:color w:val="000000"/>
              </w:rPr>
              <w:br/>
              <w:t>(1 SD above mean)</w:t>
            </w:r>
          </w:p>
        </w:tc>
        <w:tc>
          <w:tcPr>
            <w:tcW w:w="3920" w:type="dxa"/>
            <w:gridSpan w:val="3"/>
            <w:tcBorders>
              <w:top w:val="single" w:sz="4" w:space="0" w:color="000000"/>
              <w:left w:val="nil"/>
              <w:bottom w:val="nil"/>
              <w:right w:val="nil"/>
            </w:tcBorders>
            <w:vAlign w:val="center"/>
          </w:tcPr>
          <w:p w14:paraId="6CC7A0F5"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Weak beliefs in lay theory </w:t>
            </w:r>
          </w:p>
          <w:p w14:paraId="4176C0A7"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 SD below mean)</w:t>
            </w:r>
          </w:p>
        </w:tc>
      </w:tr>
      <w:tr w:rsidR="00391B4B" w14:paraId="7F875653" w14:textId="77777777">
        <w:trPr>
          <w:trHeight w:val="315"/>
        </w:trPr>
        <w:tc>
          <w:tcPr>
            <w:tcW w:w="1120" w:type="dxa"/>
            <w:vMerge/>
            <w:tcBorders>
              <w:top w:val="single" w:sz="4" w:space="0" w:color="000000"/>
              <w:left w:val="nil"/>
              <w:bottom w:val="nil"/>
              <w:right w:val="nil"/>
            </w:tcBorders>
            <w:vAlign w:val="center"/>
          </w:tcPr>
          <w:p w14:paraId="69C62565"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683" w:type="dxa"/>
            <w:vMerge/>
            <w:tcBorders>
              <w:top w:val="single" w:sz="4" w:space="0" w:color="000000"/>
              <w:left w:val="nil"/>
              <w:bottom w:val="nil"/>
              <w:right w:val="nil"/>
            </w:tcBorders>
            <w:vAlign w:val="center"/>
          </w:tcPr>
          <w:p w14:paraId="71958A9A"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2597" w:type="dxa"/>
            <w:vMerge w:val="restart"/>
            <w:tcBorders>
              <w:top w:val="nil"/>
              <w:left w:val="nil"/>
              <w:bottom w:val="nil"/>
              <w:right w:val="nil"/>
            </w:tcBorders>
            <w:vAlign w:val="center"/>
          </w:tcPr>
          <w:p w14:paraId="10F319E7" w14:textId="77777777" w:rsidR="00391B4B" w:rsidRDefault="006B6CF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DV: Efficacy perception</w:t>
            </w:r>
            <w:r w:rsidR="006E2B95">
              <w:rPr>
                <w:rFonts w:ascii="Times New Roman" w:eastAsia="Times New Roman" w:hAnsi="Times New Roman" w:cs="Times New Roman"/>
                <w:color w:val="000000"/>
              </w:rPr>
              <w:t xml:space="preserve"> (1–7)</w:t>
            </w:r>
          </w:p>
        </w:tc>
        <w:tc>
          <w:tcPr>
            <w:tcW w:w="1620" w:type="dxa"/>
            <w:tcBorders>
              <w:top w:val="nil"/>
              <w:left w:val="nil"/>
              <w:bottom w:val="nil"/>
              <w:right w:val="nil"/>
            </w:tcBorders>
            <w:vAlign w:val="center"/>
          </w:tcPr>
          <w:p w14:paraId="5935723B"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Complex design</w:t>
            </w:r>
          </w:p>
        </w:tc>
        <w:tc>
          <w:tcPr>
            <w:tcW w:w="2160" w:type="dxa"/>
            <w:tcBorders>
              <w:top w:val="nil"/>
              <w:left w:val="nil"/>
              <w:bottom w:val="nil"/>
              <w:right w:val="nil"/>
            </w:tcBorders>
            <w:vAlign w:val="center"/>
          </w:tcPr>
          <w:p w14:paraId="726C2DED"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Simple design</w:t>
            </w:r>
          </w:p>
        </w:tc>
        <w:tc>
          <w:tcPr>
            <w:tcW w:w="1980" w:type="dxa"/>
            <w:gridSpan w:val="2"/>
            <w:tcBorders>
              <w:top w:val="nil"/>
              <w:left w:val="nil"/>
              <w:bottom w:val="nil"/>
              <w:right w:val="nil"/>
            </w:tcBorders>
            <w:vAlign w:val="center"/>
          </w:tcPr>
          <w:p w14:paraId="3B2ADDE6"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Complex design</w:t>
            </w:r>
          </w:p>
        </w:tc>
        <w:tc>
          <w:tcPr>
            <w:tcW w:w="1940" w:type="dxa"/>
            <w:tcBorders>
              <w:top w:val="nil"/>
              <w:left w:val="nil"/>
              <w:bottom w:val="nil"/>
              <w:right w:val="nil"/>
            </w:tcBorders>
            <w:vAlign w:val="center"/>
          </w:tcPr>
          <w:p w14:paraId="768FA3AF"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Simple design</w:t>
            </w:r>
          </w:p>
        </w:tc>
      </w:tr>
      <w:tr w:rsidR="00391B4B" w14:paraId="1A8B7B1A" w14:textId="77777777">
        <w:trPr>
          <w:trHeight w:val="315"/>
        </w:trPr>
        <w:tc>
          <w:tcPr>
            <w:tcW w:w="1120" w:type="dxa"/>
            <w:vMerge/>
            <w:tcBorders>
              <w:top w:val="single" w:sz="4" w:space="0" w:color="000000"/>
              <w:left w:val="nil"/>
              <w:bottom w:val="nil"/>
              <w:right w:val="nil"/>
            </w:tcBorders>
            <w:vAlign w:val="center"/>
          </w:tcPr>
          <w:p w14:paraId="0607A19F"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683" w:type="dxa"/>
            <w:vMerge/>
            <w:tcBorders>
              <w:top w:val="single" w:sz="4" w:space="0" w:color="000000"/>
              <w:left w:val="nil"/>
              <w:bottom w:val="nil"/>
              <w:right w:val="nil"/>
            </w:tcBorders>
            <w:vAlign w:val="center"/>
          </w:tcPr>
          <w:p w14:paraId="6DD000CA"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2597" w:type="dxa"/>
            <w:vMerge/>
            <w:tcBorders>
              <w:top w:val="nil"/>
              <w:left w:val="nil"/>
              <w:bottom w:val="nil"/>
              <w:right w:val="nil"/>
            </w:tcBorders>
            <w:vAlign w:val="center"/>
          </w:tcPr>
          <w:p w14:paraId="5FBB2FC8"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620" w:type="dxa"/>
            <w:tcBorders>
              <w:top w:val="nil"/>
              <w:left w:val="nil"/>
              <w:bottom w:val="nil"/>
              <w:right w:val="nil"/>
            </w:tcBorders>
            <w:vAlign w:val="center"/>
          </w:tcPr>
          <w:p w14:paraId="2B24E2CD"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5.28</w:t>
            </w:r>
          </w:p>
        </w:tc>
        <w:tc>
          <w:tcPr>
            <w:tcW w:w="2160" w:type="dxa"/>
            <w:tcBorders>
              <w:top w:val="nil"/>
              <w:left w:val="nil"/>
              <w:bottom w:val="nil"/>
              <w:right w:val="nil"/>
            </w:tcBorders>
            <w:vAlign w:val="center"/>
          </w:tcPr>
          <w:p w14:paraId="411D8F77"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4.86</w:t>
            </w:r>
          </w:p>
        </w:tc>
        <w:tc>
          <w:tcPr>
            <w:tcW w:w="1980" w:type="dxa"/>
            <w:gridSpan w:val="2"/>
            <w:tcBorders>
              <w:top w:val="nil"/>
              <w:left w:val="nil"/>
              <w:bottom w:val="nil"/>
              <w:right w:val="nil"/>
            </w:tcBorders>
            <w:vAlign w:val="center"/>
          </w:tcPr>
          <w:p w14:paraId="26159C87"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4.74</w:t>
            </w:r>
          </w:p>
        </w:tc>
        <w:tc>
          <w:tcPr>
            <w:tcW w:w="1940" w:type="dxa"/>
            <w:tcBorders>
              <w:top w:val="nil"/>
              <w:left w:val="nil"/>
              <w:bottom w:val="nil"/>
              <w:right w:val="nil"/>
            </w:tcBorders>
            <w:vAlign w:val="center"/>
          </w:tcPr>
          <w:p w14:paraId="2622A7C8"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4.82</w:t>
            </w:r>
          </w:p>
        </w:tc>
      </w:tr>
      <w:tr w:rsidR="00391B4B" w14:paraId="0F5F2ECD" w14:textId="77777777">
        <w:trPr>
          <w:trHeight w:val="315"/>
        </w:trPr>
        <w:tc>
          <w:tcPr>
            <w:tcW w:w="1120" w:type="dxa"/>
            <w:vMerge/>
            <w:tcBorders>
              <w:top w:val="single" w:sz="4" w:space="0" w:color="000000"/>
              <w:left w:val="nil"/>
              <w:bottom w:val="nil"/>
              <w:right w:val="nil"/>
            </w:tcBorders>
            <w:vAlign w:val="center"/>
          </w:tcPr>
          <w:p w14:paraId="73FE46F2"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683" w:type="dxa"/>
            <w:vMerge/>
            <w:tcBorders>
              <w:top w:val="single" w:sz="4" w:space="0" w:color="000000"/>
              <w:left w:val="nil"/>
              <w:bottom w:val="nil"/>
              <w:right w:val="nil"/>
            </w:tcBorders>
            <w:vAlign w:val="center"/>
          </w:tcPr>
          <w:p w14:paraId="7CF49C16"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597" w:type="dxa"/>
            <w:vMerge/>
            <w:tcBorders>
              <w:top w:val="nil"/>
              <w:left w:val="nil"/>
              <w:bottom w:val="nil"/>
              <w:right w:val="nil"/>
            </w:tcBorders>
            <w:vAlign w:val="center"/>
          </w:tcPr>
          <w:p w14:paraId="4F14E0AB"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3780" w:type="dxa"/>
            <w:gridSpan w:val="2"/>
            <w:tcBorders>
              <w:top w:val="nil"/>
              <w:left w:val="nil"/>
              <w:bottom w:val="nil"/>
              <w:right w:val="nil"/>
            </w:tcBorders>
            <w:vAlign w:val="center"/>
          </w:tcPr>
          <w:p w14:paraId="6EFBD084"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ß = .419, </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(397) = 2.92,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 .004</w:t>
            </w:r>
          </w:p>
        </w:tc>
        <w:tc>
          <w:tcPr>
            <w:tcW w:w="3920" w:type="dxa"/>
            <w:gridSpan w:val="3"/>
            <w:tcBorders>
              <w:top w:val="nil"/>
              <w:left w:val="nil"/>
              <w:bottom w:val="nil"/>
              <w:right w:val="nil"/>
            </w:tcBorders>
            <w:vAlign w:val="center"/>
          </w:tcPr>
          <w:p w14:paraId="4D7B5455"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ß = -.077, </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(397) = -.54,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 .589</w:t>
            </w:r>
          </w:p>
        </w:tc>
      </w:tr>
      <w:tr w:rsidR="00391B4B" w14:paraId="0974778A" w14:textId="77777777">
        <w:trPr>
          <w:trHeight w:val="720"/>
        </w:trPr>
        <w:tc>
          <w:tcPr>
            <w:tcW w:w="1120" w:type="dxa"/>
            <w:tcBorders>
              <w:top w:val="nil"/>
              <w:left w:val="nil"/>
              <w:bottom w:val="single" w:sz="4" w:space="0" w:color="000000"/>
              <w:right w:val="nil"/>
            </w:tcBorders>
            <w:vAlign w:val="center"/>
          </w:tcPr>
          <w:p w14:paraId="519333DB"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Findings</w:t>
            </w:r>
          </w:p>
        </w:tc>
        <w:tc>
          <w:tcPr>
            <w:tcW w:w="11980" w:type="dxa"/>
            <w:gridSpan w:val="7"/>
            <w:tcBorders>
              <w:top w:val="nil"/>
              <w:left w:val="nil"/>
              <w:bottom w:val="single" w:sz="4" w:space="0" w:color="000000"/>
              <w:right w:val="nil"/>
            </w:tcBorders>
            <w:vAlign w:val="center"/>
          </w:tcPr>
          <w:p w14:paraId="17393A0B"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Effects more pronounced among consumers who associate design complexity (simplicity) with more (less) tangible resources </w:t>
            </w:r>
          </w:p>
        </w:tc>
      </w:tr>
      <w:tr w:rsidR="00391B4B" w14:paraId="600315F3" w14:textId="77777777">
        <w:trPr>
          <w:trHeight w:val="930"/>
        </w:trPr>
        <w:tc>
          <w:tcPr>
            <w:tcW w:w="1120" w:type="dxa"/>
            <w:vMerge w:val="restart"/>
            <w:tcBorders>
              <w:top w:val="nil"/>
              <w:left w:val="nil"/>
              <w:bottom w:val="nil"/>
              <w:right w:val="nil"/>
            </w:tcBorders>
            <w:vAlign w:val="center"/>
          </w:tcPr>
          <w:p w14:paraId="541A9DCE"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4b</w:t>
            </w:r>
          </w:p>
        </w:tc>
        <w:tc>
          <w:tcPr>
            <w:tcW w:w="1683" w:type="dxa"/>
            <w:vMerge w:val="restart"/>
            <w:tcBorders>
              <w:top w:val="nil"/>
              <w:left w:val="nil"/>
              <w:bottom w:val="nil"/>
              <w:right w:val="nil"/>
            </w:tcBorders>
            <w:vAlign w:val="center"/>
          </w:tcPr>
          <w:p w14:paraId="1C24DC47"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393 U</w:t>
            </w:r>
            <w:r>
              <w:rPr>
                <w:rFonts w:ascii="Times New Roman" w:eastAsia="Times New Roman" w:hAnsi="Times New Roman" w:cs="Times New Roman"/>
                <w:color w:val="000000"/>
              </w:rPr>
              <w:t>.S. Prolific Participants</w:t>
            </w:r>
          </w:p>
        </w:tc>
        <w:tc>
          <w:tcPr>
            <w:tcW w:w="2597" w:type="dxa"/>
            <w:tcBorders>
              <w:top w:val="nil"/>
              <w:left w:val="nil"/>
              <w:bottom w:val="nil"/>
              <w:right w:val="nil"/>
            </w:tcBorders>
            <w:vAlign w:val="center"/>
          </w:tcPr>
          <w:p w14:paraId="4D234D9C"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Replicate: all-purpose lotion</w:t>
            </w:r>
          </w:p>
        </w:tc>
        <w:tc>
          <w:tcPr>
            <w:tcW w:w="3780" w:type="dxa"/>
            <w:gridSpan w:val="2"/>
            <w:tcBorders>
              <w:top w:val="nil"/>
              <w:left w:val="nil"/>
              <w:bottom w:val="nil"/>
              <w:right w:val="nil"/>
            </w:tcBorders>
            <w:vAlign w:val="center"/>
          </w:tcPr>
          <w:p w14:paraId="5E652DE4" w14:textId="77777777" w:rsidR="00391B4B" w:rsidRDefault="006E2B95" w:rsidP="0065105D">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Strong beliefs in lay theory </w:t>
            </w:r>
            <w:r>
              <w:rPr>
                <w:rFonts w:ascii="Times New Roman" w:eastAsia="Times New Roman" w:hAnsi="Times New Roman" w:cs="Times New Roman"/>
                <w:b/>
                <w:color w:val="000000"/>
              </w:rPr>
              <w:br/>
              <w:t>(1 SD above mean)</w:t>
            </w:r>
          </w:p>
        </w:tc>
        <w:tc>
          <w:tcPr>
            <w:tcW w:w="3920" w:type="dxa"/>
            <w:gridSpan w:val="3"/>
            <w:tcBorders>
              <w:top w:val="nil"/>
              <w:left w:val="nil"/>
              <w:bottom w:val="nil"/>
              <w:right w:val="nil"/>
            </w:tcBorders>
            <w:vAlign w:val="center"/>
          </w:tcPr>
          <w:p w14:paraId="6A9E63F5"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Weak beliefs in lay theory </w:t>
            </w:r>
          </w:p>
          <w:p w14:paraId="596DAFEE"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 SD below mean)</w:t>
            </w:r>
          </w:p>
        </w:tc>
      </w:tr>
      <w:tr w:rsidR="00391B4B" w14:paraId="6A487E65" w14:textId="77777777">
        <w:trPr>
          <w:trHeight w:val="315"/>
        </w:trPr>
        <w:tc>
          <w:tcPr>
            <w:tcW w:w="1120" w:type="dxa"/>
            <w:vMerge/>
            <w:tcBorders>
              <w:top w:val="nil"/>
              <w:left w:val="nil"/>
              <w:bottom w:val="nil"/>
              <w:right w:val="nil"/>
            </w:tcBorders>
            <w:vAlign w:val="center"/>
          </w:tcPr>
          <w:p w14:paraId="716DF8F8"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683" w:type="dxa"/>
            <w:vMerge/>
            <w:tcBorders>
              <w:top w:val="nil"/>
              <w:left w:val="nil"/>
              <w:bottom w:val="nil"/>
              <w:right w:val="nil"/>
            </w:tcBorders>
            <w:vAlign w:val="center"/>
          </w:tcPr>
          <w:p w14:paraId="22F53F4D"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2597" w:type="dxa"/>
            <w:vMerge w:val="restart"/>
            <w:tcBorders>
              <w:top w:val="nil"/>
              <w:left w:val="nil"/>
              <w:bottom w:val="nil"/>
              <w:right w:val="nil"/>
            </w:tcBorders>
            <w:vAlign w:val="center"/>
          </w:tcPr>
          <w:p w14:paraId="358A3488"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DV: Eco-friendliness perception (1–7)</w:t>
            </w:r>
          </w:p>
        </w:tc>
        <w:tc>
          <w:tcPr>
            <w:tcW w:w="1620" w:type="dxa"/>
            <w:tcBorders>
              <w:top w:val="nil"/>
              <w:left w:val="nil"/>
              <w:bottom w:val="nil"/>
              <w:right w:val="nil"/>
            </w:tcBorders>
            <w:vAlign w:val="center"/>
          </w:tcPr>
          <w:p w14:paraId="120E0ACB"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Complex design</w:t>
            </w:r>
          </w:p>
        </w:tc>
        <w:tc>
          <w:tcPr>
            <w:tcW w:w="2160" w:type="dxa"/>
            <w:tcBorders>
              <w:top w:val="nil"/>
              <w:left w:val="nil"/>
              <w:bottom w:val="nil"/>
              <w:right w:val="nil"/>
            </w:tcBorders>
            <w:vAlign w:val="center"/>
          </w:tcPr>
          <w:p w14:paraId="3FC0C8DD"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Simple design</w:t>
            </w:r>
          </w:p>
        </w:tc>
        <w:tc>
          <w:tcPr>
            <w:tcW w:w="1980" w:type="dxa"/>
            <w:gridSpan w:val="2"/>
            <w:tcBorders>
              <w:top w:val="nil"/>
              <w:left w:val="nil"/>
              <w:bottom w:val="nil"/>
              <w:right w:val="nil"/>
            </w:tcBorders>
            <w:vAlign w:val="center"/>
          </w:tcPr>
          <w:p w14:paraId="61E6AC30"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Complex design</w:t>
            </w:r>
          </w:p>
        </w:tc>
        <w:tc>
          <w:tcPr>
            <w:tcW w:w="1940" w:type="dxa"/>
            <w:tcBorders>
              <w:top w:val="nil"/>
              <w:left w:val="nil"/>
              <w:bottom w:val="nil"/>
              <w:right w:val="nil"/>
            </w:tcBorders>
            <w:vAlign w:val="center"/>
          </w:tcPr>
          <w:p w14:paraId="69688879"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Simple design</w:t>
            </w:r>
          </w:p>
        </w:tc>
      </w:tr>
      <w:tr w:rsidR="00391B4B" w14:paraId="08845207" w14:textId="77777777">
        <w:trPr>
          <w:trHeight w:val="315"/>
        </w:trPr>
        <w:tc>
          <w:tcPr>
            <w:tcW w:w="1120" w:type="dxa"/>
            <w:vMerge/>
            <w:tcBorders>
              <w:top w:val="nil"/>
              <w:left w:val="nil"/>
              <w:bottom w:val="nil"/>
              <w:right w:val="nil"/>
            </w:tcBorders>
            <w:vAlign w:val="center"/>
          </w:tcPr>
          <w:p w14:paraId="7A25CCDE"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683" w:type="dxa"/>
            <w:vMerge/>
            <w:tcBorders>
              <w:top w:val="nil"/>
              <w:left w:val="nil"/>
              <w:bottom w:val="nil"/>
              <w:right w:val="nil"/>
            </w:tcBorders>
            <w:vAlign w:val="center"/>
          </w:tcPr>
          <w:p w14:paraId="17315B3C"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2597" w:type="dxa"/>
            <w:vMerge/>
            <w:tcBorders>
              <w:top w:val="nil"/>
              <w:left w:val="nil"/>
              <w:bottom w:val="nil"/>
              <w:right w:val="nil"/>
            </w:tcBorders>
            <w:vAlign w:val="center"/>
          </w:tcPr>
          <w:p w14:paraId="5B85C691"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620" w:type="dxa"/>
            <w:tcBorders>
              <w:top w:val="nil"/>
              <w:left w:val="nil"/>
              <w:bottom w:val="nil"/>
              <w:right w:val="nil"/>
            </w:tcBorders>
            <w:vAlign w:val="center"/>
          </w:tcPr>
          <w:p w14:paraId="361F843D"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4.39</w:t>
            </w:r>
          </w:p>
        </w:tc>
        <w:tc>
          <w:tcPr>
            <w:tcW w:w="2160" w:type="dxa"/>
            <w:tcBorders>
              <w:top w:val="nil"/>
              <w:left w:val="nil"/>
              <w:bottom w:val="nil"/>
              <w:right w:val="nil"/>
            </w:tcBorders>
            <w:vAlign w:val="center"/>
          </w:tcPr>
          <w:p w14:paraId="7220F0A6"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5.20</w:t>
            </w:r>
          </w:p>
        </w:tc>
        <w:tc>
          <w:tcPr>
            <w:tcW w:w="1980" w:type="dxa"/>
            <w:gridSpan w:val="2"/>
            <w:tcBorders>
              <w:top w:val="nil"/>
              <w:left w:val="nil"/>
              <w:bottom w:val="nil"/>
              <w:right w:val="nil"/>
            </w:tcBorders>
            <w:vAlign w:val="center"/>
          </w:tcPr>
          <w:p w14:paraId="74BCFDFF"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3.97</w:t>
            </w:r>
          </w:p>
        </w:tc>
        <w:tc>
          <w:tcPr>
            <w:tcW w:w="1940" w:type="dxa"/>
            <w:tcBorders>
              <w:top w:val="nil"/>
              <w:left w:val="nil"/>
              <w:bottom w:val="nil"/>
              <w:right w:val="nil"/>
            </w:tcBorders>
            <w:vAlign w:val="center"/>
          </w:tcPr>
          <w:p w14:paraId="11691CD8"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4.13</w:t>
            </w:r>
          </w:p>
        </w:tc>
      </w:tr>
      <w:tr w:rsidR="00391B4B" w14:paraId="5384DE46" w14:textId="77777777" w:rsidTr="006B6CF1">
        <w:trPr>
          <w:trHeight w:val="470"/>
        </w:trPr>
        <w:tc>
          <w:tcPr>
            <w:tcW w:w="1120" w:type="dxa"/>
            <w:vMerge/>
            <w:tcBorders>
              <w:top w:val="nil"/>
              <w:left w:val="nil"/>
              <w:bottom w:val="nil"/>
              <w:right w:val="nil"/>
            </w:tcBorders>
            <w:vAlign w:val="center"/>
          </w:tcPr>
          <w:p w14:paraId="574B9BED"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683" w:type="dxa"/>
            <w:vMerge/>
            <w:tcBorders>
              <w:top w:val="nil"/>
              <w:left w:val="nil"/>
              <w:bottom w:val="nil"/>
              <w:right w:val="nil"/>
            </w:tcBorders>
            <w:vAlign w:val="center"/>
          </w:tcPr>
          <w:p w14:paraId="0AA9B495"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597" w:type="dxa"/>
            <w:vMerge/>
            <w:tcBorders>
              <w:top w:val="nil"/>
              <w:left w:val="nil"/>
              <w:bottom w:val="nil"/>
              <w:right w:val="nil"/>
            </w:tcBorders>
            <w:vAlign w:val="center"/>
          </w:tcPr>
          <w:p w14:paraId="2B8177AB"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3780" w:type="dxa"/>
            <w:gridSpan w:val="2"/>
            <w:tcBorders>
              <w:top w:val="nil"/>
              <w:left w:val="nil"/>
              <w:bottom w:val="nil"/>
              <w:right w:val="nil"/>
            </w:tcBorders>
            <w:vAlign w:val="center"/>
          </w:tcPr>
          <w:p w14:paraId="20D8B629"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ß = -.83, </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(389) = -5.34,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&lt; .001</w:t>
            </w:r>
          </w:p>
        </w:tc>
        <w:tc>
          <w:tcPr>
            <w:tcW w:w="3920" w:type="dxa"/>
            <w:gridSpan w:val="3"/>
            <w:tcBorders>
              <w:top w:val="nil"/>
              <w:left w:val="nil"/>
              <w:bottom w:val="nil"/>
              <w:right w:val="nil"/>
            </w:tcBorders>
            <w:vAlign w:val="center"/>
          </w:tcPr>
          <w:p w14:paraId="34D110F9"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ß = -.139, </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(389) = -.89,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 = .375</w:t>
            </w:r>
          </w:p>
        </w:tc>
      </w:tr>
      <w:tr w:rsidR="00391B4B" w14:paraId="311E96BE" w14:textId="77777777" w:rsidTr="006B6CF1">
        <w:trPr>
          <w:trHeight w:val="447"/>
        </w:trPr>
        <w:tc>
          <w:tcPr>
            <w:tcW w:w="1120" w:type="dxa"/>
            <w:tcBorders>
              <w:top w:val="nil"/>
              <w:left w:val="nil"/>
              <w:bottom w:val="single" w:sz="4" w:space="0" w:color="000000"/>
              <w:right w:val="nil"/>
            </w:tcBorders>
          </w:tcPr>
          <w:p w14:paraId="2B4FF7A7" w14:textId="77777777" w:rsidR="00391B4B" w:rsidRDefault="006E2B95">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Findings</w:t>
            </w:r>
          </w:p>
        </w:tc>
        <w:tc>
          <w:tcPr>
            <w:tcW w:w="11980" w:type="dxa"/>
            <w:gridSpan w:val="7"/>
            <w:tcBorders>
              <w:top w:val="nil"/>
              <w:left w:val="nil"/>
              <w:bottom w:val="single" w:sz="4" w:space="0" w:color="000000"/>
              <w:right w:val="nil"/>
            </w:tcBorders>
            <w:vAlign w:val="bottom"/>
          </w:tcPr>
          <w:p w14:paraId="35DC7B70"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Effects more pronounced among consumers who associate design complexity (simplicity) with more (less) tangible resources </w:t>
            </w:r>
          </w:p>
          <w:p w14:paraId="6678533F" w14:textId="77777777" w:rsidR="00391B4B" w:rsidRDefault="00391B4B">
            <w:pPr>
              <w:spacing w:after="0" w:line="240" w:lineRule="auto"/>
              <w:rPr>
                <w:rFonts w:ascii="Times New Roman" w:eastAsia="Times New Roman" w:hAnsi="Times New Roman" w:cs="Times New Roman"/>
                <w:color w:val="000000"/>
              </w:rPr>
            </w:pPr>
          </w:p>
        </w:tc>
      </w:tr>
      <w:tr w:rsidR="00391B4B" w14:paraId="072C5FEB" w14:textId="77777777">
        <w:trPr>
          <w:trHeight w:val="315"/>
        </w:trPr>
        <w:tc>
          <w:tcPr>
            <w:tcW w:w="1120" w:type="dxa"/>
            <w:vMerge w:val="restart"/>
            <w:tcBorders>
              <w:top w:val="single" w:sz="4" w:space="0" w:color="000000"/>
              <w:left w:val="nil"/>
              <w:bottom w:val="nil"/>
              <w:right w:val="nil"/>
            </w:tcBorders>
            <w:vAlign w:val="center"/>
          </w:tcPr>
          <w:p w14:paraId="7D89BE5A"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5</w:t>
            </w:r>
          </w:p>
        </w:tc>
        <w:tc>
          <w:tcPr>
            <w:tcW w:w="1683" w:type="dxa"/>
            <w:vMerge w:val="restart"/>
            <w:tcBorders>
              <w:top w:val="single" w:sz="4" w:space="0" w:color="000000"/>
              <w:left w:val="nil"/>
              <w:bottom w:val="nil"/>
              <w:right w:val="nil"/>
            </w:tcBorders>
            <w:vAlign w:val="center"/>
          </w:tcPr>
          <w:p w14:paraId="28587FE7"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208 </w:t>
            </w:r>
            <w:r>
              <w:rPr>
                <w:rFonts w:ascii="Times New Roman" w:eastAsia="Times New Roman" w:hAnsi="Times New Roman" w:cs="Times New Roman"/>
              </w:rPr>
              <w:t>U</w:t>
            </w:r>
            <w:r>
              <w:rPr>
                <w:rFonts w:ascii="Times New Roman" w:eastAsia="Times New Roman" w:hAnsi="Times New Roman" w:cs="Times New Roman"/>
                <w:color w:val="000000"/>
              </w:rPr>
              <w:t>.S. Prolific Participants</w:t>
            </w:r>
          </w:p>
        </w:tc>
        <w:tc>
          <w:tcPr>
            <w:tcW w:w="2597" w:type="dxa"/>
            <w:vMerge w:val="restart"/>
            <w:tcBorders>
              <w:top w:val="single" w:sz="4" w:space="0" w:color="000000"/>
              <w:left w:val="nil"/>
              <w:bottom w:val="nil"/>
              <w:right w:val="nil"/>
            </w:tcBorders>
            <w:vAlign w:val="center"/>
          </w:tcPr>
          <w:p w14:paraId="662F8879"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Choice of visually complex (vs. simple) product advertisement</w:t>
            </w:r>
          </w:p>
        </w:tc>
        <w:tc>
          <w:tcPr>
            <w:tcW w:w="3850" w:type="dxa"/>
            <w:gridSpan w:val="3"/>
            <w:tcBorders>
              <w:top w:val="single" w:sz="4" w:space="0" w:color="000000"/>
              <w:left w:val="nil"/>
              <w:bottom w:val="nil"/>
              <w:right w:val="nil"/>
            </w:tcBorders>
            <w:vAlign w:val="center"/>
          </w:tcPr>
          <w:p w14:paraId="489375B4"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Choice share of complex ad</w:t>
            </w:r>
            <w:r>
              <w:rPr>
                <w:rFonts w:ascii="Times New Roman" w:eastAsia="Times New Roman" w:hAnsi="Times New Roman" w:cs="Times New Roman"/>
                <w:b/>
                <w:color w:val="000000"/>
              </w:rPr>
              <w:br/>
              <w:t>in efficacy evaluation criterion</w:t>
            </w:r>
          </w:p>
        </w:tc>
        <w:tc>
          <w:tcPr>
            <w:tcW w:w="3850" w:type="dxa"/>
            <w:gridSpan w:val="2"/>
            <w:tcBorders>
              <w:top w:val="single" w:sz="4" w:space="0" w:color="000000"/>
              <w:left w:val="nil"/>
              <w:bottom w:val="nil"/>
              <w:right w:val="nil"/>
            </w:tcBorders>
            <w:vAlign w:val="center"/>
          </w:tcPr>
          <w:p w14:paraId="5C175BDF"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Choice share of simple ad</w:t>
            </w:r>
            <w:r>
              <w:rPr>
                <w:rFonts w:ascii="Times New Roman" w:eastAsia="Times New Roman" w:hAnsi="Times New Roman" w:cs="Times New Roman"/>
                <w:b/>
                <w:color w:val="000000"/>
              </w:rPr>
              <w:br/>
              <w:t>in eco-friendliness evaluation criterion</w:t>
            </w:r>
          </w:p>
        </w:tc>
      </w:tr>
      <w:tr w:rsidR="00391B4B" w14:paraId="13974869" w14:textId="77777777">
        <w:trPr>
          <w:trHeight w:val="813"/>
        </w:trPr>
        <w:tc>
          <w:tcPr>
            <w:tcW w:w="1120" w:type="dxa"/>
            <w:vMerge/>
            <w:tcBorders>
              <w:top w:val="single" w:sz="4" w:space="0" w:color="000000"/>
              <w:left w:val="nil"/>
              <w:bottom w:val="nil"/>
              <w:right w:val="nil"/>
            </w:tcBorders>
            <w:vAlign w:val="center"/>
          </w:tcPr>
          <w:p w14:paraId="4C686F0C"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683" w:type="dxa"/>
            <w:vMerge/>
            <w:tcBorders>
              <w:top w:val="single" w:sz="4" w:space="0" w:color="000000"/>
              <w:left w:val="nil"/>
              <w:bottom w:val="nil"/>
              <w:right w:val="nil"/>
            </w:tcBorders>
            <w:vAlign w:val="center"/>
          </w:tcPr>
          <w:p w14:paraId="5D78ED6F"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2597" w:type="dxa"/>
            <w:vMerge/>
            <w:tcBorders>
              <w:top w:val="single" w:sz="4" w:space="0" w:color="000000"/>
              <w:left w:val="nil"/>
              <w:bottom w:val="nil"/>
              <w:right w:val="nil"/>
            </w:tcBorders>
            <w:vAlign w:val="center"/>
          </w:tcPr>
          <w:p w14:paraId="03399F82" w14:textId="77777777" w:rsidR="00391B4B" w:rsidRDefault="00391B4B">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3850" w:type="dxa"/>
            <w:gridSpan w:val="3"/>
            <w:tcBorders>
              <w:top w:val="nil"/>
              <w:left w:val="nil"/>
              <w:bottom w:val="nil"/>
              <w:right w:val="nil"/>
            </w:tcBorders>
            <w:vAlign w:val="center"/>
          </w:tcPr>
          <w:p w14:paraId="54A8EC15"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Greater than 50% </w:t>
            </w:r>
            <w:r>
              <w:rPr>
                <w:rFonts w:ascii="Times New Roman" w:eastAsia="Times New Roman" w:hAnsi="Times New Roman" w:cs="Times New Roman"/>
                <w:color w:val="000000"/>
              </w:rPr>
              <w:br/>
              <w:t xml:space="preserve">80%, </w:t>
            </w:r>
            <w:r>
              <w:rPr>
                <w:rFonts w:ascii="Times New Roman" w:eastAsia="Times New Roman" w:hAnsi="Times New Roman" w:cs="Times New Roman"/>
                <w:i/>
                <w:color w:val="000000"/>
              </w:rPr>
              <w:t>z</w:t>
            </w:r>
            <w:r>
              <w:rPr>
                <w:rFonts w:ascii="Times New Roman" w:eastAsia="Times New Roman" w:hAnsi="Times New Roman" w:cs="Times New Roman"/>
                <w:color w:val="000000"/>
              </w:rPr>
              <w:t xml:space="preserve"> = 6.15,</w:t>
            </w:r>
            <w:r>
              <w:rPr>
                <w:rFonts w:ascii="Times New Roman" w:eastAsia="Times New Roman" w:hAnsi="Times New Roman" w:cs="Times New Roman"/>
                <w:i/>
                <w:color w:val="000000"/>
              </w:rPr>
              <w:t xml:space="preserve"> p</w:t>
            </w:r>
            <w:r>
              <w:rPr>
                <w:rFonts w:ascii="Times New Roman" w:eastAsia="Times New Roman" w:hAnsi="Times New Roman" w:cs="Times New Roman"/>
                <w:color w:val="000000"/>
              </w:rPr>
              <w:t xml:space="preserve"> &lt; .001</w:t>
            </w:r>
          </w:p>
        </w:tc>
        <w:tc>
          <w:tcPr>
            <w:tcW w:w="3850" w:type="dxa"/>
            <w:gridSpan w:val="2"/>
            <w:tcBorders>
              <w:top w:val="nil"/>
              <w:left w:val="nil"/>
              <w:bottom w:val="nil"/>
              <w:right w:val="nil"/>
            </w:tcBorders>
            <w:vAlign w:val="center"/>
          </w:tcPr>
          <w:p w14:paraId="6F75C1C3" w14:textId="77777777" w:rsidR="00391B4B" w:rsidRDefault="006E2B9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Greater than 50% </w:t>
            </w:r>
            <w:r>
              <w:rPr>
                <w:rFonts w:ascii="Times New Roman" w:eastAsia="Times New Roman" w:hAnsi="Times New Roman" w:cs="Times New Roman"/>
                <w:color w:val="000000"/>
              </w:rPr>
              <w:br/>
              <w:t xml:space="preserve">61.2%, </w:t>
            </w:r>
            <w:r>
              <w:rPr>
                <w:rFonts w:ascii="Times New Roman" w:eastAsia="Times New Roman" w:hAnsi="Times New Roman" w:cs="Times New Roman"/>
                <w:i/>
                <w:color w:val="000000"/>
              </w:rPr>
              <w:t>z</w:t>
            </w:r>
            <w:r>
              <w:rPr>
                <w:rFonts w:ascii="Times New Roman" w:eastAsia="Times New Roman" w:hAnsi="Times New Roman" w:cs="Times New Roman"/>
                <w:color w:val="000000"/>
              </w:rPr>
              <w:t xml:space="preserve"> = 2.27,</w:t>
            </w:r>
            <w:r>
              <w:rPr>
                <w:rFonts w:ascii="Times New Roman" w:eastAsia="Times New Roman" w:hAnsi="Times New Roman" w:cs="Times New Roman"/>
                <w:i/>
                <w:color w:val="000000"/>
              </w:rPr>
              <w:t xml:space="preserve"> p</w:t>
            </w:r>
            <w:r>
              <w:rPr>
                <w:rFonts w:ascii="Times New Roman" w:eastAsia="Times New Roman" w:hAnsi="Times New Roman" w:cs="Times New Roman"/>
                <w:color w:val="000000"/>
              </w:rPr>
              <w:t xml:space="preserve"> = .023</w:t>
            </w:r>
          </w:p>
        </w:tc>
      </w:tr>
      <w:tr w:rsidR="00391B4B" w14:paraId="7870E6CD" w14:textId="77777777">
        <w:trPr>
          <w:trHeight w:val="333"/>
        </w:trPr>
        <w:tc>
          <w:tcPr>
            <w:tcW w:w="1120" w:type="dxa"/>
            <w:tcBorders>
              <w:top w:val="nil"/>
              <w:left w:val="nil"/>
              <w:bottom w:val="single" w:sz="4" w:space="0" w:color="000000"/>
              <w:right w:val="nil"/>
            </w:tcBorders>
            <w:vAlign w:val="center"/>
          </w:tcPr>
          <w:p w14:paraId="2DC18D48" w14:textId="77777777" w:rsidR="00391B4B" w:rsidRDefault="006E2B9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Findings</w:t>
            </w:r>
          </w:p>
        </w:tc>
        <w:tc>
          <w:tcPr>
            <w:tcW w:w="11980" w:type="dxa"/>
            <w:gridSpan w:val="7"/>
            <w:tcBorders>
              <w:top w:val="nil"/>
              <w:left w:val="nil"/>
              <w:bottom w:val="single" w:sz="4" w:space="0" w:color="000000"/>
              <w:right w:val="nil"/>
            </w:tcBorders>
            <w:vAlign w:val="center"/>
          </w:tcPr>
          <w:p w14:paraId="7555D247" w14:textId="77777777" w:rsidR="00391B4B" w:rsidRDefault="006E2B9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Consumers believe a visually complex (vs. simple) option is more appropriate to advertise an option to convey efficacy (vs. eco-friendliness).</w:t>
            </w:r>
          </w:p>
        </w:tc>
      </w:tr>
    </w:tbl>
    <w:p w14:paraId="1E532DCD" w14:textId="77777777" w:rsidR="00391B4B" w:rsidRDefault="00391B4B">
      <w:pPr>
        <w:spacing w:after="0" w:line="480" w:lineRule="auto"/>
        <w:rPr>
          <w:rFonts w:ascii="Times New Roman" w:eastAsia="Times New Roman" w:hAnsi="Times New Roman" w:cs="Times New Roman"/>
          <w:b/>
          <w:sz w:val="24"/>
          <w:szCs w:val="24"/>
        </w:rPr>
      </w:pPr>
    </w:p>
    <w:p w14:paraId="7810D787" w14:textId="77777777" w:rsidR="00391B4B" w:rsidRDefault="00391B4B">
      <w:pPr>
        <w:spacing w:after="0" w:line="480" w:lineRule="auto"/>
        <w:jc w:val="center"/>
        <w:rPr>
          <w:rFonts w:ascii="Times New Roman" w:eastAsia="Times New Roman" w:hAnsi="Times New Roman" w:cs="Times New Roman"/>
          <w:b/>
          <w:sz w:val="24"/>
          <w:szCs w:val="24"/>
        </w:rPr>
        <w:sectPr w:rsidR="00391B4B">
          <w:pgSz w:w="15840" w:h="12240" w:orient="landscape"/>
          <w:pgMar w:top="1440" w:right="1440" w:bottom="1440" w:left="1440" w:header="720" w:footer="720" w:gutter="0"/>
          <w:cols w:space="720"/>
        </w:sectPr>
      </w:pPr>
    </w:p>
    <w:p w14:paraId="39294FE1" w14:textId="77777777" w:rsidR="00391B4B" w:rsidRDefault="006E2B9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B</w:t>
      </w:r>
    </w:p>
    <w:p w14:paraId="00EA2B8E" w14:textId="77777777" w:rsidR="00391B4B" w:rsidRDefault="00391B4B">
      <w:pPr>
        <w:jc w:val="center"/>
        <w:rPr>
          <w:rFonts w:ascii="Times New Roman" w:eastAsia="Times New Roman" w:hAnsi="Times New Roman" w:cs="Times New Roman"/>
          <w:b/>
          <w:sz w:val="24"/>
          <w:szCs w:val="24"/>
        </w:rPr>
      </w:pPr>
    </w:p>
    <w:tbl>
      <w:tblPr>
        <w:tblStyle w:val="a0"/>
        <w:tblW w:w="9435" w:type="dxa"/>
        <w:tblInd w:w="-108"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716"/>
        <w:gridCol w:w="4719"/>
      </w:tblGrid>
      <w:tr w:rsidR="00391B4B" w14:paraId="08BF9A46" w14:textId="77777777">
        <w:tc>
          <w:tcPr>
            <w:tcW w:w="4716" w:type="dxa"/>
          </w:tcPr>
          <w:p w14:paraId="32959EA2"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sz w:val="18"/>
                <w:szCs w:val="18"/>
              </w:rPr>
              <w:t>Visually Complex Stimuli</w:t>
            </w:r>
          </w:p>
        </w:tc>
        <w:tc>
          <w:tcPr>
            <w:tcW w:w="4719" w:type="dxa"/>
          </w:tcPr>
          <w:p w14:paraId="30F38199"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sz w:val="18"/>
                <w:szCs w:val="18"/>
              </w:rPr>
              <w:t>Visually Simple Stimuli</w:t>
            </w:r>
          </w:p>
        </w:tc>
      </w:tr>
      <w:tr w:rsidR="00391B4B" w14:paraId="546849F7" w14:textId="77777777">
        <w:tc>
          <w:tcPr>
            <w:tcW w:w="4716" w:type="dxa"/>
          </w:tcPr>
          <w:p w14:paraId="398E166E" w14:textId="77777777" w:rsidR="00391B4B" w:rsidRDefault="00391B4B">
            <w:pPr>
              <w:rPr>
                <w:rFonts w:ascii="Times New Roman" w:eastAsia="Times New Roman" w:hAnsi="Times New Roman" w:cs="Times New Roman"/>
                <w:sz w:val="18"/>
                <w:szCs w:val="18"/>
              </w:rPr>
            </w:pPr>
          </w:p>
          <w:p w14:paraId="1AFF557D"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246D802B" wp14:editId="17DAC685">
                  <wp:extent cx="2857500" cy="1356360"/>
                  <wp:effectExtent l="0" t="0" r="0" b="0"/>
                  <wp:docPr id="5" name="image17.jpg" descr="A white and green box of so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white and green box of soap&#10;&#10;Description automatically generated"/>
                          <pic:cNvPicPr preferRelativeResize="0"/>
                        </pic:nvPicPr>
                        <pic:blipFill>
                          <a:blip r:embed="rId19"/>
                          <a:srcRect t="16667" b="24000"/>
                          <a:stretch>
                            <a:fillRect/>
                          </a:stretch>
                        </pic:blipFill>
                        <pic:spPr>
                          <a:xfrm>
                            <a:off x="0" y="0"/>
                            <a:ext cx="2857500" cy="1356360"/>
                          </a:xfrm>
                          <a:prstGeom prst="rect">
                            <a:avLst/>
                          </a:prstGeom>
                          <a:ln/>
                        </pic:spPr>
                      </pic:pic>
                    </a:graphicData>
                  </a:graphic>
                </wp:inline>
              </w:drawing>
            </w:r>
          </w:p>
        </w:tc>
        <w:tc>
          <w:tcPr>
            <w:tcW w:w="4719" w:type="dxa"/>
          </w:tcPr>
          <w:p w14:paraId="507F5E45" w14:textId="77777777" w:rsidR="00391B4B" w:rsidRDefault="00391B4B">
            <w:pPr>
              <w:rPr>
                <w:rFonts w:ascii="Times New Roman" w:eastAsia="Times New Roman" w:hAnsi="Times New Roman" w:cs="Times New Roman"/>
                <w:sz w:val="18"/>
                <w:szCs w:val="18"/>
              </w:rPr>
            </w:pPr>
          </w:p>
          <w:p w14:paraId="4150704E"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3EFE8813" wp14:editId="45B71DBD">
                  <wp:extent cx="2859405" cy="140843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859405" cy="1408430"/>
                          </a:xfrm>
                          <a:prstGeom prst="rect">
                            <a:avLst/>
                          </a:prstGeom>
                          <a:ln/>
                        </pic:spPr>
                      </pic:pic>
                    </a:graphicData>
                  </a:graphic>
                </wp:inline>
              </w:drawing>
            </w:r>
          </w:p>
          <w:p w14:paraId="45F1481D" w14:textId="77777777" w:rsidR="00391B4B" w:rsidRDefault="00391B4B">
            <w:pPr>
              <w:rPr>
                <w:rFonts w:ascii="Times New Roman" w:eastAsia="Times New Roman" w:hAnsi="Times New Roman" w:cs="Times New Roman"/>
                <w:sz w:val="18"/>
                <w:szCs w:val="18"/>
              </w:rPr>
            </w:pPr>
          </w:p>
        </w:tc>
      </w:tr>
    </w:tbl>
    <w:p w14:paraId="3FEA62DF" w14:textId="77777777" w:rsidR="00391B4B" w:rsidRDefault="00391B4B">
      <w:pPr>
        <w:spacing w:line="480" w:lineRule="auto"/>
        <w:jc w:val="center"/>
        <w:rPr>
          <w:rFonts w:ascii="Times New Roman" w:eastAsia="Times New Roman" w:hAnsi="Times New Roman" w:cs="Times New Roman"/>
          <w:b/>
          <w:sz w:val="24"/>
          <w:szCs w:val="24"/>
        </w:rPr>
      </w:pPr>
    </w:p>
    <w:p w14:paraId="1DDFCC32" w14:textId="77777777" w:rsidR="00391B4B" w:rsidRDefault="006E2B95">
      <w:pPr>
        <w:jc w:val="center"/>
        <w:rPr>
          <w:rFonts w:ascii="Times New Roman" w:eastAsia="Times New Roman" w:hAnsi="Times New Roman" w:cs="Times New Roman"/>
          <w:b/>
          <w:sz w:val="28"/>
          <w:szCs w:val="28"/>
        </w:rPr>
      </w:pPr>
      <w:r>
        <w:br w:type="page"/>
      </w:r>
    </w:p>
    <w:p w14:paraId="2DA96312" w14:textId="77777777" w:rsidR="00391B4B" w:rsidRDefault="006E2B95">
      <w:pPr>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C</w:t>
      </w:r>
    </w:p>
    <w:p w14:paraId="564A7943" w14:textId="77777777" w:rsidR="00391B4B" w:rsidRDefault="006E2B9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each product category, participants were shown one of two randomly assigned pairs, each consisting of a complex and simple product with different brand names.</w:t>
      </w:r>
    </w:p>
    <w:tbl>
      <w:tblPr>
        <w:tblStyle w:val="a1"/>
        <w:tblW w:w="9442" w:type="dxa"/>
        <w:tblInd w:w="-108"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722"/>
        <w:gridCol w:w="4720"/>
      </w:tblGrid>
      <w:tr w:rsidR="00391B4B" w14:paraId="53FA491F" w14:textId="77777777">
        <w:tc>
          <w:tcPr>
            <w:tcW w:w="4722" w:type="dxa"/>
          </w:tcPr>
          <w:p w14:paraId="021AE360"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sz w:val="18"/>
                <w:szCs w:val="18"/>
              </w:rPr>
              <w:t>Visually Complex Stimuli</w:t>
            </w:r>
          </w:p>
        </w:tc>
        <w:tc>
          <w:tcPr>
            <w:tcW w:w="4720" w:type="dxa"/>
          </w:tcPr>
          <w:p w14:paraId="5C9179CB"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sz w:val="18"/>
                <w:szCs w:val="18"/>
              </w:rPr>
              <w:t>Visually Simple Stimuli</w:t>
            </w:r>
          </w:p>
        </w:tc>
      </w:tr>
      <w:tr w:rsidR="00391B4B" w14:paraId="0557E0FF" w14:textId="77777777">
        <w:tc>
          <w:tcPr>
            <w:tcW w:w="4722" w:type="dxa"/>
          </w:tcPr>
          <w:p w14:paraId="43D41C14" w14:textId="77777777" w:rsidR="00391B4B" w:rsidRDefault="006E2B95">
            <w:pPr>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1CFCB786" wp14:editId="26195DAF">
                  <wp:extent cx="2857500" cy="1356360"/>
                  <wp:effectExtent l="0" t="0" r="0" b="0"/>
                  <wp:docPr id="6" name="image17.jpg" descr="A picture containing text, box, packaging and labeling, general suppl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icture containing text, box, packaging and labeling, general supply&#10;&#10;Description automatically generated"/>
                          <pic:cNvPicPr preferRelativeResize="0"/>
                        </pic:nvPicPr>
                        <pic:blipFill>
                          <a:blip r:embed="rId19"/>
                          <a:srcRect t="16667" b="24000"/>
                          <a:stretch>
                            <a:fillRect/>
                          </a:stretch>
                        </pic:blipFill>
                        <pic:spPr>
                          <a:xfrm>
                            <a:off x="0" y="0"/>
                            <a:ext cx="2857500" cy="135636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362BB96C" wp14:editId="46753C93">
                  <wp:extent cx="2862072" cy="1425219"/>
                  <wp:effectExtent l="0" t="0" r="0" b="0"/>
                  <wp:docPr id="9" name="image15.jpg" descr="A white and green box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white and green box with text&#10;&#10;Description automatically generated"/>
                          <pic:cNvPicPr preferRelativeResize="0"/>
                        </pic:nvPicPr>
                        <pic:blipFill>
                          <a:blip r:embed="rId21"/>
                          <a:srcRect t="16644" b="21109"/>
                          <a:stretch>
                            <a:fillRect/>
                          </a:stretch>
                        </pic:blipFill>
                        <pic:spPr>
                          <a:xfrm>
                            <a:off x="0" y="0"/>
                            <a:ext cx="2862072" cy="1425219"/>
                          </a:xfrm>
                          <a:prstGeom prst="rect">
                            <a:avLst/>
                          </a:prstGeom>
                          <a:ln/>
                        </pic:spPr>
                      </pic:pic>
                    </a:graphicData>
                  </a:graphic>
                </wp:inline>
              </w:drawing>
            </w:r>
          </w:p>
        </w:tc>
        <w:tc>
          <w:tcPr>
            <w:tcW w:w="4720" w:type="dxa"/>
          </w:tcPr>
          <w:p w14:paraId="3B4601BC" w14:textId="77777777" w:rsidR="00391B4B" w:rsidRDefault="006E2B95">
            <w:pPr>
              <w:jc w:val="center"/>
              <w:rPr>
                <w:rFonts w:ascii="Times New Roman" w:eastAsia="Times New Roman" w:hAnsi="Times New Roman" w:cs="Times New Roman"/>
                <w:sz w:val="18"/>
                <w:szCs w:val="18"/>
              </w:rPr>
            </w:pPr>
            <w:r>
              <w:rPr>
                <w:rFonts w:ascii="Times New Roman" w:eastAsia="Times New Roman" w:hAnsi="Times New Roman" w:cs="Times New Roman"/>
                <w:noProof/>
                <w:sz w:val="24"/>
                <w:szCs w:val="24"/>
              </w:rPr>
              <w:drawing>
                <wp:inline distT="0" distB="0" distL="0" distR="0" wp14:anchorId="1AA1B32A" wp14:editId="48630AFA">
                  <wp:extent cx="2862072" cy="1408160"/>
                  <wp:effectExtent l="0" t="0" r="0" b="0"/>
                  <wp:docPr id="8" name="image1.jpg" descr="A white box with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white box with green text&#10;&#10;Description automatically generated"/>
                          <pic:cNvPicPr preferRelativeResize="0"/>
                        </pic:nvPicPr>
                        <pic:blipFill>
                          <a:blip r:embed="rId22"/>
                          <a:srcRect t="15646" b="22853"/>
                          <a:stretch>
                            <a:fillRect/>
                          </a:stretch>
                        </pic:blipFill>
                        <pic:spPr>
                          <a:xfrm>
                            <a:off x="0" y="0"/>
                            <a:ext cx="2862072" cy="1408160"/>
                          </a:xfrm>
                          <a:prstGeom prst="rect">
                            <a:avLst/>
                          </a:prstGeom>
                          <a:ln/>
                        </pic:spPr>
                      </pic:pic>
                    </a:graphicData>
                  </a:graphic>
                </wp:inline>
              </w:drawing>
            </w:r>
          </w:p>
          <w:p w14:paraId="07BD544E" w14:textId="77777777" w:rsidR="00391B4B" w:rsidRDefault="006E2B95">
            <w:pPr>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1AA905EB" wp14:editId="6154CDD4">
                  <wp:extent cx="2857500" cy="1356360"/>
                  <wp:effectExtent l="0" t="0" r="0" b="0"/>
                  <wp:docPr id="11" name="image11.jpg" descr="A white box with green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jpg" descr="A white box with green text&#10;&#10;Description automatically generated with low confidence"/>
                          <pic:cNvPicPr preferRelativeResize="0"/>
                        </pic:nvPicPr>
                        <pic:blipFill>
                          <a:blip r:embed="rId23"/>
                          <a:srcRect t="17667" b="22998"/>
                          <a:stretch>
                            <a:fillRect/>
                          </a:stretch>
                        </pic:blipFill>
                        <pic:spPr>
                          <a:xfrm>
                            <a:off x="0" y="0"/>
                            <a:ext cx="2857500" cy="1356360"/>
                          </a:xfrm>
                          <a:prstGeom prst="rect">
                            <a:avLst/>
                          </a:prstGeom>
                          <a:ln/>
                        </pic:spPr>
                      </pic:pic>
                    </a:graphicData>
                  </a:graphic>
                </wp:inline>
              </w:drawing>
            </w:r>
          </w:p>
        </w:tc>
      </w:tr>
      <w:tr w:rsidR="00391B4B" w14:paraId="01008816" w14:textId="77777777">
        <w:tc>
          <w:tcPr>
            <w:tcW w:w="4722" w:type="dxa"/>
          </w:tcPr>
          <w:p w14:paraId="175F5401" w14:textId="77777777" w:rsidR="00391B4B" w:rsidRDefault="006E2B95">
            <w:pPr>
              <w:jc w:val="center"/>
              <w:rPr>
                <w:rFonts w:ascii="Times New Roman" w:eastAsia="Times New Roman" w:hAnsi="Times New Roman" w:cs="Times New Roman"/>
                <w:sz w:val="18"/>
                <w:szCs w:val="18"/>
              </w:rPr>
            </w:pPr>
            <w:r>
              <w:rPr>
                <w:rFonts w:ascii="Times New Roman" w:eastAsia="Times New Roman" w:hAnsi="Times New Roman" w:cs="Times New Roman"/>
                <w:noProof/>
                <w:sz w:val="24"/>
                <w:szCs w:val="24"/>
              </w:rPr>
              <w:drawing>
                <wp:inline distT="0" distB="0" distL="0" distR="0" wp14:anchorId="0D692678" wp14:editId="15F58504">
                  <wp:extent cx="2560320" cy="2010990"/>
                  <wp:effectExtent l="0" t="0" r="0" b="0"/>
                  <wp:docPr id="10" name="image3.jpg" descr="A black plastic container with a lab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black plastic container with a label&#10;&#10;Description automatically generated"/>
                          <pic:cNvPicPr preferRelativeResize="0"/>
                        </pic:nvPicPr>
                        <pic:blipFill>
                          <a:blip r:embed="rId24"/>
                          <a:srcRect t="10916" b="10538"/>
                          <a:stretch>
                            <a:fillRect/>
                          </a:stretch>
                        </pic:blipFill>
                        <pic:spPr>
                          <a:xfrm>
                            <a:off x="0" y="0"/>
                            <a:ext cx="2560320" cy="2010990"/>
                          </a:xfrm>
                          <a:prstGeom prst="rect">
                            <a:avLst/>
                          </a:prstGeom>
                          <a:ln/>
                        </pic:spPr>
                      </pic:pic>
                    </a:graphicData>
                  </a:graphic>
                </wp:inline>
              </w:drawing>
            </w:r>
          </w:p>
          <w:p w14:paraId="3F267B23" w14:textId="77777777" w:rsidR="00391B4B" w:rsidRDefault="006E2B95">
            <w:pPr>
              <w:jc w:val="center"/>
              <w:rPr>
                <w:rFonts w:ascii="Times New Roman" w:eastAsia="Times New Roman" w:hAnsi="Times New Roman" w:cs="Times New Roman"/>
                <w:sz w:val="18"/>
                <w:szCs w:val="18"/>
              </w:rPr>
            </w:pPr>
            <w:r>
              <w:rPr>
                <w:rFonts w:ascii="Times New Roman" w:eastAsia="Times New Roman" w:hAnsi="Times New Roman" w:cs="Times New Roman"/>
                <w:noProof/>
                <w:sz w:val="24"/>
                <w:szCs w:val="24"/>
              </w:rPr>
              <w:drawing>
                <wp:inline distT="0" distB="0" distL="0" distR="0" wp14:anchorId="06FC9F82" wp14:editId="247FE26B">
                  <wp:extent cx="2560320" cy="2038258"/>
                  <wp:effectExtent l="0" t="0" r="0" b="0"/>
                  <wp:docPr id="13" name="image8.jpg" descr="A black plastic container with a white lab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black plastic container with a white label&#10;&#10;Description automatically generated"/>
                          <pic:cNvPicPr preferRelativeResize="0"/>
                        </pic:nvPicPr>
                        <pic:blipFill>
                          <a:blip r:embed="rId25"/>
                          <a:srcRect t="10651" b="9740"/>
                          <a:stretch>
                            <a:fillRect/>
                          </a:stretch>
                        </pic:blipFill>
                        <pic:spPr>
                          <a:xfrm>
                            <a:off x="0" y="0"/>
                            <a:ext cx="2560320" cy="2038258"/>
                          </a:xfrm>
                          <a:prstGeom prst="rect">
                            <a:avLst/>
                          </a:prstGeom>
                          <a:ln/>
                        </pic:spPr>
                      </pic:pic>
                    </a:graphicData>
                  </a:graphic>
                </wp:inline>
              </w:drawing>
            </w:r>
          </w:p>
        </w:tc>
        <w:tc>
          <w:tcPr>
            <w:tcW w:w="4720" w:type="dxa"/>
          </w:tcPr>
          <w:p w14:paraId="424EC036" w14:textId="77777777" w:rsidR="00391B4B" w:rsidRDefault="006E2B95">
            <w:pPr>
              <w:jc w:val="center"/>
              <w:rPr>
                <w:rFonts w:ascii="Times New Roman" w:eastAsia="Times New Roman" w:hAnsi="Times New Roman" w:cs="Times New Roman"/>
                <w:sz w:val="18"/>
                <w:szCs w:val="18"/>
              </w:rPr>
            </w:pPr>
            <w:r>
              <w:rPr>
                <w:rFonts w:ascii="Times New Roman" w:eastAsia="Times New Roman" w:hAnsi="Times New Roman" w:cs="Times New Roman"/>
                <w:noProof/>
                <w:sz w:val="24"/>
                <w:szCs w:val="24"/>
              </w:rPr>
              <w:drawing>
                <wp:inline distT="0" distB="0" distL="0" distR="0" wp14:anchorId="591DF272" wp14:editId="6CEAD581">
                  <wp:extent cx="2560320" cy="2038258"/>
                  <wp:effectExtent l="0" t="0" r="0" b="0"/>
                  <wp:docPr id="12" name="image22.jpg" descr="A black plastic container with a brown lab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jpg" descr="A black plastic container with a brown label&#10;&#10;Description automatically generated"/>
                          <pic:cNvPicPr preferRelativeResize="0"/>
                        </pic:nvPicPr>
                        <pic:blipFill>
                          <a:blip r:embed="rId26"/>
                          <a:srcRect t="10384" b="10007"/>
                          <a:stretch>
                            <a:fillRect/>
                          </a:stretch>
                        </pic:blipFill>
                        <pic:spPr>
                          <a:xfrm>
                            <a:off x="0" y="0"/>
                            <a:ext cx="2560320" cy="2038258"/>
                          </a:xfrm>
                          <a:prstGeom prst="rect">
                            <a:avLst/>
                          </a:prstGeom>
                          <a:ln/>
                        </pic:spPr>
                      </pic:pic>
                    </a:graphicData>
                  </a:graphic>
                </wp:inline>
              </w:drawing>
            </w:r>
          </w:p>
          <w:p w14:paraId="6230B0EE" w14:textId="77777777" w:rsidR="00391B4B" w:rsidRDefault="006E2B95">
            <w:pPr>
              <w:jc w:val="center"/>
              <w:rPr>
                <w:rFonts w:ascii="Times New Roman" w:eastAsia="Times New Roman" w:hAnsi="Times New Roman" w:cs="Times New Roman"/>
                <w:sz w:val="18"/>
                <w:szCs w:val="18"/>
              </w:rPr>
            </w:pPr>
            <w:r>
              <w:rPr>
                <w:rFonts w:ascii="Times New Roman" w:eastAsia="Times New Roman" w:hAnsi="Times New Roman" w:cs="Times New Roman"/>
                <w:noProof/>
                <w:sz w:val="24"/>
                <w:szCs w:val="24"/>
              </w:rPr>
              <w:drawing>
                <wp:inline distT="0" distB="0" distL="0" distR="0" wp14:anchorId="080DAAC1" wp14:editId="0F5C6F61">
                  <wp:extent cx="2560320" cy="2010990"/>
                  <wp:effectExtent l="0" t="0" r="0" b="0"/>
                  <wp:docPr id="16" name="image13.jpg" descr="A black jar with a brown lab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black jar with a brown label&#10;&#10;Description automatically generated"/>
                          <pic:cNvPicPr preferRelativeResize="0"/>
                        </pic:nvPicPr>
                        <pic:blipFill>
                          <a:blip r:embed="rId27"/>
                          <a:srcRect t="10916" b="10538"/>
                          <a:stretch>
                            <a:fillRect/>
                          </a:stretch>
                        </pic:blipFill>
                        <pic:spPr>
                          <a:xfrm>
                            <a:off x="0" y="0"/>
                            <a:ext cx="2560320" cy="2010990"/>
                          </a:xfrm>
                          <a:prstGeom prst="rect">
                            <a:avLst/>
                          </a:prstGeom>
                          <a:ln/>
                        </pic:spPr>
                      </pic:pic>
                    </a:graphicData>
                  </a:graphic>
                </wp:inline>
              </w:drawing>
            </w:r>
          </w:p>
        </w:tc>
      </w:tr>
      <w:tr w:rsidR="00391B4B" w14:paraId="60359229" w14:textId="77777777">
        <w:tc>
          <w:tcPr>
            <w:tcW w:w="4722" w:type="dxa"/>
          </w:tcPr>
          <w:p w14:paraId="0C715D82" w14:textId="77777777" w:rsidR="00391B4B" w:rsidRDefault="006E2B95">
            <w:pPr>
              <w:jc w:val="center"/>
              <w:rPr>
                <w:rFonts w:ascii="Times New Roman" w:eastAsia="Times New Roman" w:hAnsi="Times New Roman" w:cs="Times New Roman"/>
                <w:sz w:val="18"/>
                <w:szCs w:val="18"/>
              </w:rPr>
            </w:pPr>
            <w:r>
              <w:rPr>
                <w:rFonts w:ascii="Times New Roman" w:eastAsia="Times New Roman" w:hAnsi="Times New Roman" w:cs="Times New Roman"/>
                <w:b/>
                <w:noProof/>
                <w:sz w:val="24"/>
                <w:szCs w:val="24"/>
              </w:rPr>
              <w:lastRenderedPageBreak/>
              <w:drawing>
                <wp:inline distT="0" distB="0" distL="0" distR="0" wp14:anchorId="682997BB" wp14:editId="1EAEC351">
                  <wp:extent cx="2316305" cy="2103120"/>
                  <wp:effectExtent l="0" t="0" r="0" b="0"/>
                  <wp:docPr id="14" name="image7.jpg" descr="A blue and white can of energy drin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blue and white can of energy drink&#10;&#10;Description automatically generated"/>
                          <pic:cNvPicPr preferRelativeResize="0"/>
                        </pic:nvPicPr>
                        <pic:blipFill>
                          <a:blip r:embed="rId28"/>
                          <a:srcRect t="16767" b="10165"/>
                          <a:stretch>
                            <a:fillRect/>
                          </a:stretch>
                        </pic:blipFill>
                        <pic:spPr>
                          <a:xfrm>
                            <a:off x="0" y="0"/>
                            <a:ext cx="2316305" cy="2103120"/>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0" distR="0" wp14:anchorId="3187C0DC" wp14:editId="3FFE87DF">
                  <wp:extent cx="2293744" cy="2103120"/>
                  <wp:effectExtent l="0" t="0" r="0" b="0"/>
                  <wp:docPr id="15" name="image16.jpg" descr="A blue and white can of energy drin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A blue and white can of energy drink&#10;&#10;Description automatically generated"/>
                          <pic:cNvPicPr preferRelativeResize="0"/>
                        </pic:nvPicPr>
                        <pic:blipFill>
                          <a:blip r:embed="rId29"/>
                          <a:srcRect t="16510" b="9702"/>
                          <a:stretch>
                            <a:fillRect/>
                          </a:stretch>
                        </pic:blipFill>
                        <pic:spPr>
                          <a:xfrm>
                            <a:off x="0" y="0"/>
                            <a:ext cx="2293744" cy="2103120"/>
                          </a:xfrm>
                          <a:prstGeom prst="rect">
                            <a:avLst/>
                          </a:prstGeom>
                          <a:ln/>
                        </pic:spPr>
                      </pic:pic>
                    </a:graphicData>
                  </a:graphic>
                </wp:inline>
              </w:drawing>
            </w:r>
          </w:p>
        </w:tc>
        <w:tc>
          <w:tcPr>
            <w:tcW w:w="4720" w:type="dxa"/>
          </w:tcPr>
          <w:p w14:paraId="741CE977" w14:textId="77777777" w:rsidR="00391B4B" w:rsidRDefault="006E2B95">
            <w:pPr>
              <w:jc w:val="center"/>
              <w:rPr>
                <w:rFonts w:ascii="Times New Roman" w:eastAsia="Times New Roman" w:hAnsi="Times New Roman" w:cs="Times New Roman"/>
                <w:sz w:val="18"/>
                <w:szCs w:val="18"/>
              </w:rPr>
            </w:pPr>
            <w:r>
              <w:rPr>
                <w:rFonts w:ascii="Times New Roman" w:eastAsia="Times New Roman" w:hAnsi="Times New Roman" w:cs="Times New Roman"/>
                <w:b/>
                <w:noProof/>
                <w:sz w:val="24"/>
                <w:szCs w:val="24"/>
              </w:rPr>
              <w:drawing>
                <wp:inline distT="0" distB="0" distL="0" distR="0" wp14:anchorId="22AF4896" wp14:editId="39805C6A">
                  <wp:extent cx="2278946" cy="2103120"/>
                  <wp:effectExtent l="0" t="0" r="0" b="0"/>
                  <wp:docPr id="17" name="image4.jpg" descr="A blue can of energy drin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blue can of energy drink&#10;&#10;Description automatically generated"/>
                          <pic:cNvPicPr preferRelativeResize="0"/>
                        </pic:nvPicPr>
                        <pic:blipFill>
                          <a:blip r:embed="rId30"/>
                          <a:srcRect t="16509" b="9223"/>
                          <a:stretch>
                            <a:fillRect/>
                          </a:stretch>
                        </pic:blipFill>
                        <pic:spPr>
                          <a:xfrm>
                            <a:off x="0" y="0"/>
                            <a:ext cx="2278946" cy="2103120"/>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0" distR="0" wp14:anchorId="0C6611A6" wp14:editId="42BFB731">
                  <wp:extent cx="2331594" cy="2103120"/>
                  <wp:effectExtent l="0" t="0" r="0" b="0"/>
                  <wp:docPr id="18" name="image14.jpg" descr="A blue can of energy drin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blue can of energy drink&#10;&#10;Description automatically generated"/>
                          <pic:cNvPicPr preferRelativeResize="0"/>
                        </pic:nvPicPr>
                        <pic:blipFill>
                          <a:blip r:embed="rId31"/>
                          <a:srcRect l="-25" t="17484" r="24" b="9926"/>
                          <a:stretch>
                            <a:fillRect/>
                          </a:stretch>
                        </pic:blipFill>
                        <pic:spPr>
                          <a:xfrm>
                            <a:off x="0" y="0"/>
                            <a:ext cx="2331594" cy="2103120"/>
                          </a:xfrm>
                          <a:prstGeom prst="rect">
                            <a:avLst/>
                          </a:prstGeom>
                          <a:ln/>
                        </pic:spPr>
                      </pic:pic>
                    </a:graphicData>
                  </a:graphic>
                </wp:inline>
              </w:drawing>
            </w:r>
          </w:p>
          <w:p w14:paraId="14356A24" w14:textId="77777777" w:rsidR="00391B4B" w:rsidRDefault="00391B4B">
            <w:pPr>
              <w:jc w:val="center"/>
              <w:rPr>
                <w:rFonts w:ascii="Times New Roman" w:eastAsia="Times New Roman" w:hAnsi="Times New Roman" w:cs="Times New Roman"/>
                <w:sz w:val="18"/>
                <w:szCs w:val="18"/>
              </w:rPr>
            </w:pPr>
          </w:p>
        </w:tc>
      </w:tr>
      <w:tr w:rsidR="00391B4B" w14:paraId="6BB033EA" w14:textId="77777777">
        <w:tc>
          <w:tcPr>
            <w:tcW w:w="4722" w:type="dxa"/>
          </w:tcPr>
          <w:p w14:paraId="023519BF" w14:textId="77777777" w:rsidR="00391B4B" w:rsidRDefault="00391B4B">
            <w:pPr>
              <w:jc w:val="center"/>
              <w:rPr>
                <w:rFonts w:ascii="Times New Roman" w:eastAsia="Times New Roman" w:hAnsi="Times New Roman" w:cs="Times New Roman"/>
                <w:sz w:val="18"/>
                <w:szCs w:val="18"/>
              </w:rPr>
            </w:pPr>
          </w:p>
          <w:p w14:paraId="4A29689D" w14:textId="77777777" w:rsidR="00391B4B" w:rsidRDefault="006E2B95">
            <w:pPr>
              <w:jc w:val="center"/>
              <w:rPr>
                <w:rFonts w:ascii="Times New Roman" w:eastAsia="Times New Roman" w:hAnsi="Times New Roman" w:cs="Times New Roman"/>
                <w:sz w:val="18"/>
                <w:szCs w:val="18"/>
              </w:rPr>
            </w:pPr>
            <w:r>
              <w:rPr>
                <w:rFonts w:ascii="Times New Roman" w:eastAsia="Times New Roman" w:hAnsi="Times New Roman" w:cs="Times New Roman"/>
                <w:noProof/>
                <w:sz w:val="24"/>
                <w:szCs w:val="24"/>
              </w:rPr>
              <w:drawing>
                <wp:inline distT="0" distB="0" distL="0" distR="0" wp14:anchorId="4FE39AE2" wp14:editId="69B99FE6">
                  <wp:extent cx="2560320" cy="1422400"/>
                  <wp:effectExtent l="0" t="0" r="0" b="0"/>
                  <wp:docPr id="19" name="image6.jpg" descr="A group of rolls of toilet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group of rolls of toilet paper&#10;&#10;Description automatically generated"/>
                          <pic:cNvPicPr preferRelativeResize="0"/>
                        </pic:nvPicPr>
                        <pic:blipFill>
                          <a:blip r:embed="rId32"/>
                          <a:srcRect t="22817" b="21626"/>
                          <a:stretch>
                            <a:fillRect/>
                          </a:stretch>
                        </pic:blipFill>
                        <pic:spPr>
                          <a:xfrm>
                            <a:off x="0" y="0"/>
                            <a:ext cx="2560320" cy="14224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1138258E" wp14:editId="32057AC0">
                  <wp:extent cx="2560320" cy="1422551"/>
                  <wp:effectExtent l="0" t="0" r="0" b="0"/>
                  <wp:docPr id="20" name="image20.jpg" descr="A group of rolls of toilet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A group of rolls of toilet paper&#10;&#10;Description automatically generated"/>
                          <pic:cNvPicPr preferRelativeResize="0"/>
                        </pic:nvPicPr>
                        <pic:blipFill>
                          <a:blip r:embed="rId33"/>
                          <a:srcRect t="22487" b="21952"/>
                          <a:stretch>
                            <a:fillRect/>
                          </a:stretch>
                        </pic:blipFill>
                        <pic:spPr>
                          <a:xfrm>
                            <a:off x="0" y="0"/>
                            <a:ext cx="2560320" cy="1422551"/>
                          </a:xfrm>
                          <a:prstGeom prst="rect">
                            <a:avLst/>
                          </a:prstGeom>
                          <a:ln/>
                        </pic:spPr>
                      </pic:pic>
                    </a:graphicData>
                  </a:graphic>
                </wp:inline>
              </w:drawing>
            </w:r>
          </w:p>
          <w:p w14:paraId="319F19AB" w14:textId="77777777" w:rsidR="00391B4B" w:rsidRDefault="00391B4B">
            <w:pPr>
              <w:jc w:val="center"/>
              <w:rPr>
                <w:rFonts w:ascii="Times New Roman" w:eastAsia="Times New Roman" w:hAnsi="Times New Roman" w:cs="Times New Roman"/>
                <w:sz w:val="18"/>
                <w:szCs w:val="18"/>
              </w:rPr>
            </w:pPr>
          </w:p>
        </w:tc>
        <w:tc>
          <w:tcPr>
            <w:tcW w:w="4720" w:type="dxa"/>
          </w:tcPr>
          <w:p w14:paraId="3FA87C4E" w14:textId="77777777" w:rsidR="00391B4B" w:rsidRDefault="00391B4B">
            <w:pPr>
              <w:jc w:val="center"/>
              <w:rPr>
                <w:rFonts w:ascii="Times New Roman" w:eastAsia="Times New Roman" w:hAnsi="Times New Roman" w:cs="Times New Roman"/>
                <w:sz w:val="18"/>
                <w:szCs w:val="18"/>
              </w:rPr>
            </w:pPr>
          </w:p>
          <w:p w14:paraId="3DB5853E" w14:textId="77777777" w:rsidR="00391B4B" w:rsidRDefault="006E2B95">
            <w:pPr>
              <w:jc w:val="center"/>
              <w:rPr>
                <w:rFonts w:ascii="Times New Roman" w:eastAsia="Times New Roman" w:hAnsi="Times New Roman" w:cs="Times New Roman"/>
                <w:sz w:val="18"/>
                <w:szCs w:val="18"/>
              </w:rPr>
            </w:pPr>
            <w:r>
              <w:rPr>
                <w:rFonts w:ascii="Times New Roman" w:eastAsia="Times New Roman" w:hAnsi="Times New Roman" w:cs="Times New Roman"/>
                <w:noProof/>
                <w:sz w:val="24"/>
                <w:szCs w:val="24"/>
              </w:rPr>
              <w:drawing>
                <wp:inline distT="0" distB="0" distL="0" distR="0" wp14:anchorId="1742DA24" wp14:editId="7AB74801">
                  <wp:extent cx="2560320" cy="1422702"/>
                  <wp:effectExtent l="0" t="0" r="0" b="0"/>
                  <wp:docPr id="21" name="image21.jpg" descr="A group of rolls of toilet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A group of rolls of toilet paper&#10;&#10;Description automatically generated"/>
                          <pic:cNvPicPr preferRelativeResize="0"/>
                        </pic:nvPicPr>
                        <pic:blipFill>
                          <a:blip r:embed="rId34"/>
                          <a:srcRect t="22156" b="22277"/>
                          <a:stretch>
                            <a:fillRect/>
                          </a:stretch>
                        </pic:blipFill>
                        <pic:spPr>
                          <a:xfrm>
                            <a:off x="0" y="0"/>
                            <a:ext cx="2560320" cy="1422702"/>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64523FA7" wp14:editId="4260DC15">
                  <wp:extent cx="2560320" cy="1422702"/>
                  <wp:effectExtent l="0" t="0" r="0" b="0"/>
                  <wp:docPr id="22" name="image23.jpg" descr="A group of rolls of toilet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jpg" descr="A group of rolls of toilet paper&#10;&#10;Description automatically generated"/>
                          <pic:cNvPicPr preferRelativeResize="0"/>
                        </pic:nvPicPr>
                        <pic:blipFill>
                          <a:blip r:embed="rId35"/>
                          <a:srcRect t="22156" b="22277"/>
                          <a:stretch>
                            <a:fillRect/>
                          </a:stretch>
                        </pic:blipFill>
                        <pic:spPr>
                          <a:xfrm>
                            <a:off x="0" y="0"/>
                            <a:ext cx="2560320" cy="1422702"/>
                          </a:xfrm>
                          <a:prstGeom prst="rect">
                            <a:avLst/>
                          </a:prstGeom>
                          <a:ln/>
                        </pic:spPr>
                      </pic:pic>
                    </a:graphicData>
                  </a:graphic>
                </wp:inline>
              </w:drawing>
            </w:r>
          </w:p>
          <w:p w14:paraId="77C56B3E" w14:textId="77777777" w:rsidR="00391B4B" w:rsidRDefault="00391B4B">
            <w:pPr>
              <w:jc w:val="center"/>
              <w:rPr>
                <w:rFonts w:ascii="Times New Roman" w:eastAsia="Times New Roman" w:hAnsi="Times New Roman" w:cs="Times New Roman"/>
                <w:sz w:val="18"/>
                <w:szCs w:val="18"/>
              </w:rPr>
            </w:pPr>
          </w:p>
        </w:tc>
      </w:tr>
    </w:tbl>
    <w:p w14:paraId="61C484BA" w14:textId="77777777" w:rsidR="00391B4B" w:rsidRDefault="00391B4B">
      <w:pPr>
        <w:spacing w:line="480" w:lineRule="auto"/>
        <w:jc w:val="center"/>
        <w:rPr>
          <w:rFonts w:ascii="Times New Roman" w:eastAsia="Times New Roman" w:hAnsi="Times New Roman" w:cs="Times New Roman"/>
          <w:b/>
          <w:sz w:val="24"/>
          <w:szCs w:val="24"/>
        </w:rPr>
      </w:pPr>
    </w:p>
    <w:p w14:paraId="4B24C2FD" w14:textId="77777777" w:rsidR="00391B4B" w:rsidRDefault="006E2B95">
      <w:pPr>
        <w:jc w:val="center"/>
        <w:rPr>
          <w:rFonts w:ascii="Times New Roman" w:eastAsia="Times New Roman" w:hAnsi="Times New Roman" w:cs="Times New Roman"/>
          <w:b/>
          <w:sz w:val="28"/>
          <w:szCs w:val="28"/>
        </w:rPr>
      </w:pPr>
      <w:r>
        <w:br w:type="page"/>
      </w:r>
    </w:p>
    <w:p w14:paraId="5C594192" w14:textId="77777777" w:rsidR="00391B4B" w:rsidRDefault="006E2B9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D</w:t>
      </w:r>
    </w:p>
    <w:p w14:paraId="673559D3" w14:textId="77777777" w:rsidR="00391B4B" w:rsidRDefault="00391B4B">
      <w:pPr>
        <w:spacing w:line="480" w:lineRule="auto"/>
        <w:jc w:val="center"/>
        <w:rPr>
          <w:rFonts w:ascii="Times New Roman" w:eastAsia="Times New Roman" w:hAnsi="Times New Roman" w:cs="Times New Roman"/>
          <w:b/>
          <w:sz w:val="24"/>
          <w:szCs w:val="24"/>
        </w:rPr>
      </w:pPr>
    </w:p>
    <w:p w14:paraId="04C3E10D" w14:textId="77777777" w:rsidR="00391B4B" w:rsidRDefault="006E2B9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Study 3a &amp; 3b Stimuli</w:t>
      </w:r>
    </w:p>
    <w:tbl>
      <w:tblPr>
        <w:tblStyle w:val="a2"/>
        <w:tblW w:w="9558" w:type="dxa"/>
        <w:tblInd w:w="-108"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779"/>
        <w:gridCol w:w="4779"/>
      </w:tblGrid>
      <w:tr w:rsidR="00391B4B" w14:paraId="0A3273FD" w14:textId="77777777">
        <w:tc>
          <w:tcPr>
            <w:tcW w:w="4779" w:type="dxa"/>
          </w:tcPr>
          <w:p w14:paraId="699D6AB0"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sz w:val="18"/>
                <w:szCs w:val="18"/>
              </w:rPr>
              <w:t>Visually Complex Target Product</w:t>
            </w:r>
          </w:p>
        </w:tc>
        <w:tc>
          <w:tcPr>
            <w:tcW w:w="4779" w:type="dxa"/>
          </w:tcPr>
          <w:p w14:paraId="5712E044"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sz w:val="18"/>
                <w:szCs w:val="18"/>
              </w:rPr>
              <w:t>Visually Simple Target product</w:t>
            </w:r>
          </w:p>
        </w:tc>
      </w:tr>
      <w:tr w:rsidR="00391B4B" w14:paraId="53BDF348" w14:textId="77777777">
        <w:tc>
          <w:tcPr>
            <w:tcW w:w="4779" w:type="dxa"/>
          </w:tcPr>
          <w:p w14:paraId="4C9857DF" w14:textId="77777777" w:rsidR="00391B4B" w:rsidRDefault="00391B4B">
            <w:pPr>
              <w:jc w:val="center"/>
              <w:rPr>
                <w:rFonts w:ascii="Times New Roman" w:eastAsia="Times New Roman" w:hAnsi="Times New Roman" w:cs="Times New Roman"/>
                <w:sz w:val="18"/>
                <w:szCs w:val="18"/>
              </w:rPr>
            </w:pPr>
          </w:p>
          <w:p w14:paraId="0B6FF13D" w14:textId="77777777" w:rsidR="00391B4B" w:rsidRDefault="006E2B95">
            <w:pPr>
              <w:jc w:val="center"/>
              <w:rPr>
                <w:rFonts w:ascii="Times New Roman" w:eastAsia="Times New Roman" w:hAnsi="Times New Roman" w:cs="Times New Roman"/>
                <w:sz w:val="18"/>
                <w:szCs w:val="18"/>
              </w:rPr>
            </w:pPr>
            <w:r>
              <w:rPr>
                <w:noProof/>
              </w:rPr>
              <w:drawing>
                <wp:inline distT="0" distB="0" distL="0" distR="0" wp14:anchorId="18E7F97B" wp14:editId="165AB416">
                  <wp:extent cx="2897494" cy="2897494"/>
                  <wp:effectExtent l="0" t="0" r="0" b="0"/>
                  <wp:docPr id="23" name="image19.png" descr="https://ufl.qualtrics.com/CP/Graphic.php?IM=IM_eeoWpYKEswfs7dQ"/>
                  <wp:cNvGraphicFramePr/>
                  <a:graphic xmlns:a="http://schemas.openxmlformats.org/drawingml/2006/main">
                    <a:graphicData uri="http://schemas.openxmlformats.org/drawingml/2006/picture">
                      <pic:pic xmlns:pic="http://schemas.openxmlformats.org/drawingml/2006/picture">
                        <pic:nvPicPr>
                          <pic:cNvPr id="0" name="image19.png" descr="https://ufl.qualtrics.com/CP/Graphic.php?IM=IM_eeoWpYKEswfs7dQ"/>
                          <pic:cNvPicPr preferRelativeResize="0"/>
                        </pic:nvPicPr>
                        <pic:blipFill>
                          <a:blip r:embed="rId36"/>
                          <a:srcRect/>
                          <a:stretch>
                            <a:fillRect/>
                          </a:stretch>
                        </pic:blipFill>
                        <pic:spPr>
                          <a:xfrm>
                            <a:off x="0" y="0"/>
                            <a:ext cx="2897494" cy="2897494"/>
                          </a:xfrm>
                          <a:prstGeom prst="rect">
                            <a:avLst/>
                          </a:prstGeom>
                          <a:ln/>
                        </pic:spPr>
                      </pic:pic>
                    </a:graphicData>
                  </a:graphic>
                </wp:inline>
              </w:drawing>
            </w:r>
          </w:p>
        </w:tc>
        <w:tc>
          <w:tcPr>
            <w:tcW w:w="4779" w:type="dxa"/>
          </w:tcPr>
          <w:p w14:paraId="608661DD" w14:textId="77777777" w:rsidR="00391B4B" w:rsidRDefault="00391B4B">
            <w:pPr>
              <w:jc w:val="center"/>
              <w:rPr>
                <w:rFonts w:ascii="Times New Roman" w:eastAsia="Times New Roman" w:hAnsi="Times New Roman" w:cs="Times New Roman"/>
                <w:sz w:val="18"/>
                <w:szCs w:val="18"/>
              </w:rPr>
            </w:pPr>
          </w:p>
          <w:p w14:paraId="1E6537AD" w14:textId="77777777" w:rsidR="00391B4B" w:rsidRDefault="006E2B95">
            <w:pPr>
              <w:jc w:val="center"/>
              <w:rPr>
                <w:rFonts w:ascii="Times New Roman" w:eastAsia="Times New Roman" w:hAnsi="Times New Roman" w:cs="Times New Roman"/>
                <w:sz w:val="18"/>
                <w:szCs w:val="18"/>
              </w:rPr>
            </w:pPr>
            <w:r>
              <w:rPr>
                <w:noProof/>
              </w:rPr>
              <w:drawing>
                <wp:inline distT="0" distB="0" distL="0" distR="0" wp14:anchorId="30BB5FA6" wp14:editId="1F512ADD">
                  <wp:extent cx="2897494" cy="2897494"/>
                  <wp:effectExtent l="0" t="0" r="0" b="0"/>
                  <wp:docPr id="24" name="image18.png" descr="https://ufl.qualtrics.com/CP/Graphic.php?IM=IM_6Ye61fTiOtSshIW"/>
                  <wp:cNvGraphicFramePr/>
                  <a:graphic xmlns:a="http://schemas.openxmlformats.org/drawingml/2006/main">
                    <a:graphicData uri="http://schemas.openxmlformats.org/drawingml/2006/picture">
                      <pic:pic xmlns:pic="http://schemas.openxmlformats.org/drawingml/2006/picture">
                        <pic:nvPicPr>
                          <pic:cNvPr id="0" name="image18.png" descr="https://ufl.qualtrics.com/CP/Graphic.php?IM=IM_6Ye61fTiOtSshIW"/>
                          <pic:cNvPicPr preferRelativeResize="0"/>
                        </pic:nvPicPr>
                        <pic:blipFill>
                          <a:blip r:embed="rId37"/>
                          <a:srcRect/>
                          <a:stretch>
                            <a:fillRect/>
                          </a:stretch>
                        </pic:blipFill>
                        <pic:spPr>
                          <a:xfrm>
                            <a:off x="0" y="0"/>
                            <a:ext cx="2897494" cy="2897494"/>
                          </a:xfrm>
                          <a:prstGeom prst="rect">
                            <a:avLst/>
                          </a:prstGeom>
                          <a:ln/>
                        </pic:spPr>
                      </pic:pic>
                    </a:graphicData>
                  </a:graphic>
                </wp:inline>
              </w:drawing>
            </w:r>
          </w:p>
          <w:p w14:paraId="2C1599E7" w14:textId="77777777" w:rsidR="00391B4B" w:rsidRDefault="00391B4B">
            <w:pPr>
              <w:jc w:val="center"/>
              <w:rPr>
                <w:rFonts w:ascii="Times New Roman" w:eastAsia="Times New Roman" w:hAnsi="Times New Roman" w:cs="Times New Roman"/>
                <w:sz w:val="18"/>
                <w:szCs w:val="18"/>
              </w:rPr>
            </w:pPr>
          </w:p>
        </w:tc>
      </w:tr>
    </w:tbl>
    <w:p w14:paraId="392AEC1F" w14:textId="77777777" w:rsidR="00391B4B" w:rsidRDefault="00391B4B">
      <w:pPr>
        <w:spacing w:line="480" w:lineRule="auto"/>
        <w:jc w:val="center"/>
        <w:rPr>
          <w:rFonts w:ascii="Times New Roman" w:eastAsia="Times New Roman" w:hAnsi="Times New Roman" w:cs="Times New Roman"/>
          <w:b/>
          <w:sz w:val="24"/>
          <w:szCs w:val="24"/>
        </w:rPr>
      </w:pPr>
    </w:p>
    <w:p w14:paraId="3EB1285E" w14:textId="77777777" w:rsidR="00391B4B" w:rsidRDefault="006E2B95">
      <w:pPr>
        <w:spacing w:line="480" w:lineRule="auto"/>
        <w:rPr>
          <w:rFonts w:ascii="Times New Roman" w:eastAsia="Times New Roman" w:hAnsi="Times New Roman" w:cs="Times New Roman"/>
          <w:b/>
          <w:sz w:val="28"/>
          <w:szCs w:val="28"/>
        </w:rPr>
      </w:pPr>
      <w:r>
        <w:br w:type="page"/>
      </w:r>
    </w:p>
    <w:p w14:paraId="2D668673" w14:textId="77777777" w:rsidR="00391B4B" w:rsidRDefault="006E2B9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E</w:t>
      </w:r>
    </w:p>
    <w:p w14:paraId="5140BD9F" w14:textId="77777777" w:rsidR="00391B4B" w:rsidRDefault="00391B4B">
      <w:pPr>
        <w:spacing w:line="480" w:lineRule="auto"/>
        <w:jc w:val="center"/>
        <w:rPr>
          <w:rFonts w:ascii="Times New Roman" w:eastAsia="Times New Roman" w:hAnsi="Times New Roman" w:cs="Times New Roman"/>
          <w:b/>
          <w:sz w:val="24"/>
          <w:szCs w:val="24"/>
        </w:rPr>
      </w:pPr>
    </w:p>
    <w:p w14:paraId="3BB7606B" w14:textId="77777777" w:rsidR="00391B4B" w:rsidRDefault="006E2B9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Study 4b Stimuli</w:t>
      </w:r>
    </w:p>
    <w:tbl>
      <w:tblPr>
        <w:tblStyle w:val="a3"/>
        <w:tblW w:w="9446" w:type="dxa"/>
        <w:tblInd w:w="-108"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723"/>
        <w:gridCol w:w="4723"/>
      </w:tblGrid>
      <w:tr w:rsidR="00391B4B" w14:paraId="0565472D" w14:textId="77777777">
        <w:tc>
          <w:tcPr>
            <w:tcW w:w="4723" w:type="dxa"/>
          </w:tcPr>
          <w:p w14:paraId="04FAB2AE"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sz w:val="18"/>
                <w:szCs w:val="18"/>
              </w:rPr>
              <w:t>Visually Complex Stimuli</w:t>
            </w:r>
          </w:p>
        </w:tc>
        <w:tc>
          <w:tcPr>
            <w:tcW w:w="4723" w:type="dxa"/>
          </w:tcPr>
          <w:p w14:paraId="20A56D78"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sz w:val="18"/>
                <w:szCs w:val="18"/>
              </w:rPr>
              <w:t>Visually Simple Stimuli</w:t>
            </w:r>
          </w:p>
        </w:tc>
      </w:tr>
      <w:tr w:rsidR="00391B4B" w14:paraId="01A6B027" w14:textId="77777777">
        <w:tc>
          <w:tcPr>
            <w:tcW w:w="4723" w:type="dxa"/>
          </w:tcPr>
          <w:p w14:paraId="19682DC4" w14:textId="77777777" w:rsidR="00391B4B" w:rsidRDefault="00391B4B">
            <w:pPr>
              <w:rPr>
                <w:rFonts w:ascii="Times New Roman" w:eastAsia="Times New Roman" w:hAnsi="Times New Roman" w:cs="Times New Roman"/>
                <w:sz w:val="18"/>
                <w:szCs w:val="18"/>
              </w:rPr>
            </w:pPr>
          </w:p>
          <w:p w14:paraId="4CB07651"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noProof/>
                <w:sz w:val="24"/>
                <w:szCs w:val="24"/>
              </w:rPr>
              <w:drawing>
                <wp:inline distT="0" distB="0" distL="0" distR="0" wp14:anchorId="07E625AC" wp14:editId="233FF29B">
                  <wp:extent cx="2862072" cy="2862072"/>
                  <wp:effectExtent l="0" t="0" r="0" b="0"/>
                  <wp:docPr id="1" name="image2.jpg" descr="A bottle of lo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ottle of lotion&#10;&#10;Description automatically generated"/>
                          <pic:cNvPicPr preferRelativeResize="0"/>
                        </pic:nvPicPr>
                        <pic:blipFill>
                          <a:blip r:embed="rId38"/>
                          <a:srcRect/>
                          <a:stretch>
                            <a:fillRect/>
                          </a:stretch>
                        </pic:blipFill>
                        <pic:spPr>
                          <a:xfrm>
                            <a:off x="0" y="0"/>
                            <a:ext cx="2862072" cy="2862072"/>
                          </a:xfrm>
                          <a:prstGeom prst="rect">
                            <a:avLst/>
                          </a:prstGeom>
                          <a:ln/>
                        </pic:spPr>
                      </pic:pic>
                    </a:graphicData>
                  </a:graphic>
                </wp:inline>
              </w:drawing>
            </w:r>
          </w:p>
        </w:tc>
        <w:tc>
          <w:tcPr>
            <w:tcW w:w="4723" w:type="dxa"/>
          </w:tcPr>
          <w:p w14:paraId="28B7F185" w14:textId="77777777" w:rsidR="00391B4B" w:rsidRDefault="00391B4B">
            <w:pPr>
              <w:rPr>
                <w:rFonts w:ascii="Times New Roman" w:eastAsia="Times New Roman" w:hAnsi="Times New Roman" w:cs="Times New Roman"/>
                <w:sz w:val="18"/>
                <w:szCs w:val="18"/>
              </w:rPr>
            </w:pPr>
          </w:p>
          <w:p w14:paraId="33B94AF7"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noProof/>
                <w:sz w:val="24"/>
                <w:szCs w:val="24"/>
              </w:rPr>
              <w:drawing>
                <wp:inline distT="0" distB="0" distL="0" distR="0" wp14:anchorId="674AE3D9" wp14:editId="3F13D6DF">
                  <wp:extent cx="2862072" cy="2862072"/>
                  <wp:effectExtent l="0" t="0" r="0" b="0"/>
                  <wp:docPr id="2" name="image9.jpg" descr="A white bottle with a red c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white bottle with a red cap&#10;&#10;Description automatically generated"/>
                          <pic:cNvPicPr preferRelativeResize="0"/>
                        </pic:nvPicPr>
                        <pic:blipFill>
                          <a:blip r:embed="rId39"/>
                          <a:srcRect/>
                          <a:stretch>
                            <a:fillRect/>
                          </a:stretch>
                        </pic:blipFill>
                        <pic:spPr>
                          <a:xfrm>
                            <a:off x="0" y="0"/>
                            <a:ext cx="2862072" cy="2862072"/>
                          </a:xfrm>
                          <a:prstGeom prst="rect">
                            <a:avLst/>
                          </a:prstGeom>
                          <a:ln/>
                        </pic:spPr>
                      </pic:pic>
                    </a:graphicData>
                  </a:graphic>
                </wp:inline>
              </w:drawing>
            </w:r>
          </w:p>
          <w:p w14:paraId="667DC2CA" w14:textId="77777777" w:rsidR="00391B4B" w:rsidRDefault="00391B4B">
            <w:pPr>
              <w:rPr>
                <w:rFonts w:ascii="Times New Roman" w:eastAsia="Times New Roman" w:hAnsi="Times New Roman" w:cs="Times New Roman"/>
                <w:sz w:val="18"/>
                <w:szCs w:val="18"/>
              </w:rPr>
            </w:pPr>
          </w:p>
        </w:tc>
      </w:tr>
    </w:tbl>
    <w:p w14:paraId="72C089CD" w14:textId="77777777" w:rsidR="00391B4B" w:rsidRDefault="006E2B95">
      <w:pPr>
        <w:jc w:val="center"/>
        <w:rPr>
          <w:rFonts w:ascii="Times New Roman" w:eastAsia="Times New Roman" w:hAnsi="Times New Roman" w:cs="Times New Roman"/>
          <w:b/>
          <w:sz w:val="28"/>
          <w:szCs w:val="28"/>
        </w:rPr>
      </w:pPr>
      <w:r>
        <w:br w:type="page"/>
      </w:r>
    </w:p>
    <w:p w14:paraId="5F73822C" w14:textId="77777777" w:rsidR="00391B4B" w:rsidRDefault="006E2B9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F</w:t>
      </w:r>
    </w:p>
    <w:p w14:paraId="6D55AB39" w14:textId="77777777" w:rsidR="00391B4B" w:rsidRDefault="00391B4B">
      <w:pPr>
        <w:jc w:val="center"/>
        <w:rPr>
          <w:rFonts w:ascii="Times New Roman" w:eastAsia="Times New Roman" w:hAnsi="Times New Roman" w:cs="Times New Roman"/>
          <w:b/>
          <w:sz w:val="24"/>
          <w:szCs w:val="24"/>
        </w:rPr>
      </w:pPr>
    </w:p>
    <w:tbl>
      <w:tblPr>
        <w:tblStyle w:val="a4"/>
        <w:tblW w:w="9502" w:type="dxa"/>
        <w:tblInd w:w="-108"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751"/>
        <w:gridCol w:w="4751"/>
      </w:tblGrid>
      <w:tr w:rsidR="00391B4B" w14:paraId="4F9CED19" w14:textId="77777777">
        <w:tc>
          <w:tcPr>
            <w:tcW w:w="4751" w:type="dxa"/>
          </w:tcPr>
          <w:p w14:paraId="0A96905D"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sz w:val="18"/>
                <w:szCs w:val="18"/>
              </w:rPr>
              <w:t>Visually Complex Stimuli</w:t>
            </w:r>
          </w:p>
        </w:tc>
        <w:tc>
          <w:tcPr>
            <w:tcW w:w="4751" w:type="dxa"/>
          </w:tcPr>
          <w:p w14:paraId="4D2CED6A" w14:textId="77777777" w:rsidR="00391B4B" w:rsidRDefault="006E2B95">
            <w:pPr>
              <w:rPr>
                <w:rFonts w:ascii="Times New Roman" w:eastAsia="Times New Roman" w:hAnsi="Times New Roman" w:cs="Times New Roman"/>
                <w:sz w:val="18"/>
                <w:szCs w:val="18"/>
              </w:rPr>
            </w:pPr>
            <w:r>
              <w:rPr>
                <w:rFonts w:ascii="Times New Roman" w:eastAsia="Times New Roman" w:hAnsi="Times New Roman" w:cs="Times New Roman"/>
                <w:sz w:val="18"/>
                <w:szCs w:val="18"/>
              </w:rPr>
              <w:t>Visually Simple Stimuli</w:t>
            </w:r>
          </w:p>
        </w:tc>
      </w:tr>
      <w:tr w:rsidR="00391B4B" w14:paraId="0B6B1EE7" w14:textId="77777777">
        <w:tc>
          <w:tcPr>
            <w:tcW w:w="4751" w:type="dxa"/>
          </w:tcPr>
          <w:p w14:paraId="5240C002" w14:textId="77777777" w:rsidR="00391B4B" w:rsidRDefault="00391B4B">
            <w:pPr>
              <w:rPr>
                <w:rFonts w:ascii="Times New Roman" w:eastAsia="Times New Roman" w:hAnsi="Times New Roman" w:cs="Times New Roman"/>
                <w:sz w:val="18"/>
                <w:szCs w:val="18"/>
              </w:rPr>
            </w:pPr>
          </w:p>
          <w:p w14:paraId="1912E418" w14:textId="77777777" w:rsidR="00391B4B" w:rsidRDefault="006E2B95">
            <w:pPr>
              <w:rPr>
                <w:rFonts w:ascii="Times New Roman" w:eastAsia="Times New Roman" w:hAnsi="Times New Roman" w:cs="Times New Roman"/>
                <w:sz w:val="18"/>
                <w:szCs w:val="18"/>
              </w:rPr>
            </w:pPr>
            <w:r>
              <w:rPr>
                <w:noProof/>
              </w:rPr>
              <w:drawing>
                <wp:inline distT="0" distB="0" distL="0" distR="0" wp14:anchorId="7726F715" wp14:editId="2CE1EB2C">
                  <wp:extent cx="2880000" cy="3597631"/>
                  <wp:effectExtent l="0" t="0" r="0" b="0"/>
                  <wp:docPr id="3" name="image5.png" descr="https://ufl.qualtrics.com/CP/Graphic.php?IM=IM_eY6aGEySWLvJVz0"/>
                  <wp:cNvGraphicFramePr/>
                  <a:graphic xmlns:a="http://schemas.openxmlformats.org/drawingml/2006/main">
                    <a:graphicData uri="http://schemas.openxmlformats.org/drawingml/2006/picture">
                      <pic:pic xmlns:pic="http://schemas.openxmlformats.org/drawingml/2006/picture">
                        <pic:nvPicPr>
                          <pic:cNvPr id="0" name="image5.png" descr="https://ufl.qualtrics.com/CP/Graphic.php?IM=IM_eY6aGEySWLvJVz0"/>
                          <pic:cNvPicPr preferRelativeResize="0"/>
                        </pic:nvPicPr>
                        <pic:blipFill>
                          <a:blip r:embed="rId40"/>
                          <a:srcRect/>
                          <a:stretch>
                            <a:fillRect/>
                          </a:stretch>
                        </pic:blipFill>
                        <pic:spPr>
                          <a:xfrm>
                            <a:off x="0" y="0"/>
                            <a:ext cx="2880000" cy="3597631"/>
                          </a:xfrm>
                          <a:prstGeom prst="rect">
                            <a:avLst/>
                          </a:prstGeom>
                          <a:ln/>
                        </pic:spPr>
                      </pic:pic>
                    </a:graphicData>
                  </a:graphic>
                </wp:inline>
              </w:drawing>
            </w:r>
          </w:p>
        </w:tc>
        <w:tc>
          <w:tcPr>
            <w:tcW w:w="4751" w:type="dxa"/>
          </w:tcPr>
          <w:p w14:paraId="04C53E9F" w14:textId="77777777" w:rsidR="00391B4B" w:rsidRDefault="00391B4B">
            <w:pPr>
              <w:rPr>
                <w:rFonts w:ascii="Times New Roman" w:eastAsia="Times New Roman" w:hAnsi="Times New Roman" w:cs="Times New Roman"/>
                <w:sz w:val="18"/>
                <w:szCs w:val="18"/>
              </w:rPr>
            </w:pPr>
          </w:p>
          <w:p w14:paraId="1DFFFB55" w14:textId="77777777" w:rsidR="00391B4B" w:rsidRDefault="006E2B95">
            <w:pPr>
              <w:rPr>
                <w:rFonts w:ascii="Times New Roman" w:eastAsia="Times New Roman" w:hAnsi="Times New Roman" w:cs="Times New Roman"/>
                <w:sz w:val="18"/>
                <w:szCs w:val="18"/>
              </w:rPr>
            </w:pPr>
            <w:r>
              <w:rPr>
                <w:noProof/>
              </w:rPr>
              <w:drawing>
                <wp:inline distT="0" distB="0" distL="0" distR="0" wp14:anchorId="7207CB47" wp14:editId="300E49E5">
                  <wp:extent cx="2880000" cy="3597630"/>
                  <wp:effectExtent l="0" t="0" r="0" b="0"/>
                  <wp:docPr id="4" name="image12.png" descr="https://ufl.qualtrics.com/CP/Graphic.php?IM=IM_aWWDvd69BKW1c7c"/>
                  <wp:cNvGraphicFramePr/>
                  <a:graphic xmlns:a="http://schemas.openxmlformats.org/drawingml/2006/main">
                    <a:graphicData uri="http://schemas.openxmlformats.org/drawingml/2006/picture">
                      <pic:pic xmlns:pic="http://schemas.openxmlformats.org/drawingml/2006/picture">
                        <pic:nvPicPr>
                          <pic:cNvPr id="0" name="image12.png" descr="https://ufl.qualtrics.com/CP/Graphic.php?IM=IM_aWWDvd69BKW1c7c"/>
                          <pic:cNvPicPr preferRelativeResize="0"/>
                        </pic:nvPicPr>
                        <pic:blipFill>
                          <a:blip r:embed="rId41"/>
                          <a:srcRect/>
                          <a:stretch>
                            <a:fillRect/>
                          </a:stretch>
                        </pic:blipFill>
                        <pic:spPr>
                          <a:xfrm>
                            <a:off x="0" y="0"/>
                            <a:ext cx="2880000" cy="3597630"/>
                          </a:xfrm>
                          <a:prstGeom prst="rect">
                            <a:avLst/>
                          </a:prstGeom>
                          <a:ln/>
                        </pic:spPr>
                      </pic:pic>
                    </a:graphicData>
                  </a:graphic>
                </wp:inline>
              </w:drawing>
            </w:r>
          </w:p>
          <w:p w14:paraId="0059ADBF" w14:textId="77777777" w:rsidR="00391B4B" w:rsidRDefault="00391B4B">
            <w:pPr>
              <w:rPr>
                <w:rFonts w:ascii="Times New Roman" w:eastAsia="Times New Roman" w:hAnsi="Times New Roman" w:cs="Times New Roman"/>
                <w:sz w:val="18"/>
                <w:szCs w:val="18"/>
              </w:rPr>
            </w:pPr>
          </w:p>
        </w:tc>
      </w:tr>
    </w:tbl>
    <w:p w14:paraId="278D4555" w14:textId="77777777" w:rsidR="00391B4B" w:rsidRDefault="00391B4B">
      <w:pPr>
        <w:spacing w:line="480" w:lineRule="auto"/>
        <w:jc w:val="center"/>
        <w:rPr>
          <w:rFonts w:ascii="Times New Roman" w:eastAsia="Times New Roman" w:hAnsi="Times New Roman" w:cs="Times New Roman"/>
          <w:b/>
          <w:sz w:val="24"/>
          <w:szCs w:val="24"/>
        </w:rPr>
      </w:pPr>
    </w:p>
    <w:p w14:paraId="71A9A5AF" w14:textId="77777777" w:rsidR="00391B4B" w:rsidRDefault="00391B4B">
      <w:pPr>
        <w:spacing w:after="0" w:line="480" w:lineRule="auto"/>
        <w:rPr>
          <w:rFonts w:ascii="Times New Roman" w:eastAsia="Times New Roman" w:hAnsi="Times New Roman" w:cs="Times New Roman"/>
          <w:b/>
          <w:sz w:val="24"/>
          <w:szCs w:val="24"/>
        </w:rPr>
      </w:pPr>
    </w:p>
    <w:p w14:paraId="14461709" w14:textId="77777777" w:rsidR="00391B4B" w:rsidRDefault="006E2B95">
      <w:pPr>
        <w:spacing w:after="0" w:line="480" w:lineRule="auto"/>
        <w:jc w:val="center"/>
        <w:rPr>
          <w:rFonts w:ascii="Times New Roman" w:eastAsia="Times New Roman" w:hAnsi="Times New Roman" w:cs="Times New Roman"/>
          <w:b/>
          <w:sz w:val="24"/>
          <w:szCs w:val="24"/>
        </w:rPr>
      </w:pPr>
      <w:bookmarkStart w:id="10" w:name="_uzdpbdb434o1" w:colFirst="0" w:colLast="0"/>
      <w:bookmarkEnd w:id="10"/>
      <w:r>
        <w:br w:type="page"/>
      </w:r>
      <w:r>
        <w:rPr>
          <w:rFonts w:ascii="Times New Roman" w:eastAsia="Times New Roman" w:hAnsi="Times New Roman" w:cs="Times New Roman"/>
          <w:b/>
          <w:sz w:val="28"/>
          <w:szCs w:val="28"/>
        </w:rPr>
        <w:lastRenderedPageBreak/>
        <w:t>REFERENCES</w:t>
      </w:r>
    </w:p>
    <w:p w14:paraId="5FEE7814" w14:textId="77777777" w:rsidR="00391B4B" w:rsidRDefault="00391B4B">
      <w:pPr>
        <w:spacing w:after="0" w:line="480" w:lineRule="auto"/>
        <w:jc w:val="center"/>
        <w:rPr>
          <w:rFonts w:ascii="Times New Roman" w:eastAsia="Times New Roman" w:hAnsi="Times New Roman" w:cs="Times New Roman"/>
          <w:b/>
          <w:sz w:val="24"/>
          <w:szCs w:val="24"/>
        </w:rPr>
      </w:pPr>
    </w:p>
    <w:p w14:paraId="5A817FDD"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Albino, V., Balice, A., &amp; Dangelico, R. M. (2009). Environmental strategies and green product development: An overview on sustainability-driven companies. </w:t>
      </w:r>
      <w:r>
        <w:rPr>
          <w:rFonts w:ascii="Times New Roman" w:eastAsia="Times New Roman" w:hAnsi="Times New Roman" w:cs="Times New Roman"/>
          <w:i/>
          <w:color w:val="000000"/>
          <w:sz w:val="24"/>
          <w:szCs w:val="24"/>
        </w:rPr>
        <w:t>Business Strategy and the Environment</w:t>
      </w:r>
      <w:r>
        <w:rPr>
          <w:rFonts w:ascii="Times New Roman" w:eastAsia="Times New Roman" w:hAnsi="Times New Roman" w:cs="Times New Roman"/>
          <w:color w:val="000000"/>
          <w:sz w:val="24"/>
          <w:szCs w:val="24"/>
        </w:rPr>
        <w:t>, 18(2), 83–96.</w:t>
      </w:r>
    </w:p>
    <w:p w14:paraId="35133101"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Allwood, J. M., Ashby, M. F., Gutowski, T. G., &amp; Worrell, E. (2011). Material efficiency: A white paper. </w:t>
      </w:r>
      <w:r>
        <w:rPr>
          <w:rFonts w:ascii="Times New Roman" w:eastAsia="Times New Roman" w:hAnsi="Times New Roman" w:cs="Times New Roman"/>
          <w:i/>
          <w:color w:val="000000"/>
          <w:sz w:val="24"/>
          <w:szCs w:val="24"/>
        </w:rPr>
        <w:t>Resources, Conservation and Recycling</w:t>
      </w:r>
      <w:r>
        <w:rPr>
          <w:rFonts w:ascii="Times New Roman" w:eastAsia="Times New Roman" w:hAnsi="Times New Roman" w:cs="Times New Roman"/>
          <w:color w:val="000000"/>
          <w:sz w:val="24"/>
          <w:szCs w:val="24"/>
        </w:rPr>
        <w:t>, 55(3), 362–381.</w:t>
      </w:r>
    </w:p>
    <w:p w14:paraId="3C4BC689"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Attneave</w:t>
      </w:r>
      <w:proofErr w:type="spellEnd"/>
      <w:r>
        <w:rPr>
          <w:rFonts w:ascii="Times New Roman" w:eastAsia="Times New Roman" w:hAnsi="Times New Roman" w:cs="Times New Roman"/>
          <w:color w:val="000000"/>
          <w:sz w:val="24"/>
          <w:szCs w:val="24"/>
        </w:rPr>
        <w:t xml:space="preserve">, F. (1957). Physical determinants of the judged complexity of shapes. </w:t>
      </w:r>
      <w:r>
        <w:rPr>
          <w:rFonts w:ascii="Times New Roman" w:eastAsia="Times New Roman" w:hAnsi="Times New Roman" w:cs="Times New Roman"/>
          <w:i/>
          <w:color w:val="000000"/>
          <w:sz w:val="24"/>
          <w:szCs w:val="24"/>
        </w:rPr>
        <w:t>Journal of Experimental Psychology</w:t>
      </w:r>
      <w:r>
        <w:rPr>
          <w:rFonts w:ascii="Times New Roman" w:eastAsia="Times New Roman" w:hAnsi="Times New Roman" w:cs="Times New Roman"/>
          <w:color w:val="000000"/>
          <w:sz w:val="24"/>
          <w:szCs w:val="24"/>
        </w:rPr>
        <w:t>, 53(4), 221–227.</w:t>
      </w:r>
    </w:p>
    <w:p w14:paraId="420C4113"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Berlyne</w:t>
      </w:r>
      <w:proofErr w:type="spellEnd"/>
      <w:r>
        <w:rPr>
          <w:rFonts w:ascii="Times New Roman" w:eastAsia="Times New Roman" w:hAnsi="Times New Roman" w:cs="Times New Roman"/>
          <w:color w:val="000000"/>
          <w:sz w:val="24"/>
          <w:szCs w:val="24"/>
        </w:rPr>
        <w:t xml:space="preserve">, D. E., Ogilvie, J. C., &amp; Parham, L. C. (1968). The dimensionality of visual complexity, interestingness, and </w:t>
      </w:r>
      <w:proofErr w:type="spellStart"/>
      <w:r>
        <w:rPr>
          <w:rFonts w:ascii="Times New Roman" w:eastAsia="Times New Roman" w:hAnsi="Times New Roman" w:cs="Times New Roman"/>
          <w:color w:val="000000"/>
          <w:sz w:val="24"/>
          <w:szCs w:val="24"/>
        </w:rPr>
        <w:t>pleasingness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Canadian Journal of Psychology</w:t>
      </w:r>
      <w:r>
        <w:rPr>
          <w:rFonts w:ascii="Times New Roman" w:eastAsia="Times New Roman" w:hAnsi="Times New Roman" w:cs="Times New Roman"/>
          <w:color w:val="000000"/>
          <w:sz w:val="24"/>
          <w:szCs w:val="24"/>
        </w:rPr>
        <w:t>, 22(5), 376–387.</w:t>
      </w:r>
    </w:p>
    <w:p w14:paraId="6B293E6E"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Braun, J., </w:t>
      </w:r>
      <w:proofErr w:type="spellStart"/>
      <w:r>
        <w:rPr>
          <w:rFonts w:ascii="Times New Roman" w:eastAsia="Times New Roman" w:hAnsi="Times New Roman" w:cs="Times New Roman"/>
          <w:color w:val="000000"/>
          <w:sz w:val="24"/>
          <w:szCs w:val="24"/>
        </w:rPr>
        <w:t>Amirshahi</w:t>
      </w:r>
      <w:proofErr w:type="spellEnd"/>
      <w:r>
        <w:rPr>
          <w:rFonts w:ascii="Times New Roman" w:eastAsia="Times New Roman" w:hAnsi="Times New Roman" w:cs="Times New Roman"/>
          <w:color w:val="000000"/>
          <w:sz w:val="24"/>
          <w:szCs w:val="24"/>
        </w:rPr>
        <w:t xml:space="preserve">, S. A., Denzler, J., &amp; </w:t>
      </w:r>
      <w:proofErr w:type="spellStart"/>
      <w:r>
        <w:rPr>
          <w:rFonts w:ascii="Times New Roman" w:eastAsia="Times New Roman" w:hAnsi="Times New Roman" w:cs="Times New Roman"/>
          <w:color w:val="000000"/>
          <w:sz w:val="24"/>
          <w:szCs w:val="24"/>
        </w:rPr>
        <w:t>Redies</w:t>
      </w:r>
      <w:proofErr w:type="spellEnd"/>
      <w:r>
        <w:rPr>
          <w:rFonts w:ascii="Times New Roman" w:eastAsia="Times New Roman" w:hAnsi="Times New Roman" w:cs="Times New Roman"/>
          <w:color w:val="000000"/>
          <w:sz w:val="24"/>
          <w:szCs w:val="24"/>
        </w:rPr>
        <w:t xml:space="preserve">, C. (2013). Statistical image properties of print advertisements, visual artworks, and images of architecture. </w:t>
      </w:r>
      <w:r>
        <w:rPr>
          <w:rFonts w:ascii="Times New Roman" w:eastAsia="Times New Roman" w:hAnsi="Times New Roman" w:cs="Times New Roman"/>
          <w:i/>
          <w:color w:val="000000"/>
          <w:sz w:val="24"/>
          <w:szCs w:val="24"/>
        </w:rPr>
        <w:t>Frontiers in Psychology</w:t>
      </w:r>
      <w:r>
        <w:rPr>
          <w:rFonts w:ascii="Times New Roman" w:eastAsia="Times New Roman" w:hAnsi="Times New Roman" w:cs="Times New Roman"/>
          <w:color w:val="000000"/>
          <w:sz w:val="24"/>
          <w:szCs w:val="24"/>
        </w:rPr>
        <w:t>, 4(Nov), 1–15.</w:t>
      </w:r>
    </w:p>
    <w:p w14:paraId="284CFB92"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Chen, S., Ponomarenko, V., </w:t>
      </w:r>
      <w:proofErr w:type="spellStart"/>
      <w:r>
        <w:rPr>
          <w:rFonts w:ascii="Times New Roman" w:eastAsia="Times New Roman" w:hAnsi="Times New Roman" w:cs="Times New Roman"/>
          <w:color w:val="000000"/>
          <w:sz w:val="24"/>
          <w:szCs w:val="24"/>
        </w:rPr>
        <w:t>Lv</w:t>
      </w:r>
      <w:proofErr w:type="spellEnd"/>
      <w:r>
        <w:rPr>
          <w:rFonts w:ascii="Times New Roman" w:eastAsia="Times New Roman" w:hAnsi="Times New Roman" w:cs="Times New Roman"/>
          <w:color w:val="000000"/>
          <w:sz w:val="24"/>
          <w:szCs w:val="24"/>
        </w:rPr>
        <w:t xml:space="preserve">, L., &amp; Ahlstrom, D. (2025). Visual complexity, brand gender, and ad effectiveness. </w:t>
      </w:r>
      <w:r>
        <w:rPr>
          <w:rFonts w:ascii="Times New Roman" w:eastAsia="Times New Roman" w:hAnsi="Times New Roman" w:cs="Times New Roman"/>
          <w:i/>
          <w:color w:val="000000"/>
          <w:sz w:val="24"/>
          <w:szCs w:val="24"/>
        </w:rPr>
        <w:t>International Journal of Research in Marketing</w:t>
      </w:r>
      <w:r>
        <w:rPr>
          <w:rFonts w:ascii="Times New Roman" w:eastAsia="Times New Roman" w:hAnsi="Times New Roman" w:cs="Times New Roman"/>
          <w:color w:val="000000"/>
          <w:sz w:val="24"/>
          <w:szCs w:val="24"/>
        </w:rPr>
        <w:t>, 42(2), 365–390.</w:t>
      </w:r>
    </w:p>
    <w:p w14:paraId="2C5BE263"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Chen, S., Xiao, T., Xiong, J., &amp; Peng, K. (2023). Occam's razor effect in packaging: The impact of simple versus complex aesthetics on product efficacy judgments. </w:t>
      </w:r>
      <w:r>
        <w:rPr>
          <w:rFonts w:ascii="Times New Roman" w:eastAsia="Times New Roman" w:hAnsi="Times New Roman" w:cs="Times New Roman"/>
          <w:i/>
          <w:color w:val="000000"/>
          <w:sz w:val="24"/>
          <w:szCs w:val="24"/>
        </w:rPr>
        <w:t xml:space="preserve">Acta </w:t>
      </w:r>
      <w:proofErr w:type="spellStart"/>
      <w:r>
        <w:rPr>
          <w:rFonts w:ascii="Times New Roman" w:eastAsia="Times New Roman" w:hAnsi="Times New Roman" w:cs="Times New Roman"/>
          <w:i/>
          <w:color w:val="000000"/>
          <w:sz w:val="24"/>
          <w:szCs w:val="24"/>
        </w:rPr>
        <w:t>Psychologica</w:t>
      </w:r>
      <w:proofErr w:type="spellEnd"/>
      <w:r>
        <w:rPr>
          <w:rFonts w:ascii="Times New Roman" w:eastAsia="Times New Roman" w:hAnsi="Times New Roman" w:cs="Times New Roman"/>
          <w:i/>
          <w:color w:val="000000"/>
          <w:sz w:val="24"/>
          <w:szCs w:val="24"/>
        </w:rPr>
        <w:t xml:space="preserve"> Sinica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55</w:t>
      </w:r>
      <w:r>
        <w:rPr>
          <w:rFonts w:ascii="Times New Roman" w:eastAsia="Times New Roman" w:hAnsi="Times New Roman" w:cs="Times New Roman"/>
          <w:color w:val="000000"/>
          <w:sz w:val="24"/>
          <w:szCs w:val="24"/>
        </w:rPr>
        <w:t>(11), 1872–1888.</w:t>
      </w:r>
    </w:p>
    <w:p w14:paraId="5C08BB57" w14:textId="77777777" w:rsidR="00391B4B" w:rsidRDefault="006E2B95">
      <w:pPr>
        <w:spacing w:after="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Chikhman</w:t>
      </w:r>
      <w:proofErr w:type="spellEnd"/>
      <w:r>
        <w:rPr>
          <w:rFonts w:ascii="Times New Roman" w:eastAsia="Times New Roman" w:hAnsi="Times New Roman" w:cs="Times New Roman"/>
          <w:sz w:val="24"/>
          <w:szCs w:val="24"/>
        </w:rPr>
        <w:t xml:space="preserve">, V., Bondarko, V., Danilova, M., </w:t>
      </w:r>
      <w:proofErr w:type="spellStart"/>
      <w:r>
        <w:rPr>
          <w:rFonts w:ascii="Times New Roman" w:eastAsia="Times New Roman" w:hAnsi="Times New Roman" w:cs="Times New Roman"/>
          <w:sz w:val="24"/>
          <w:szCs w:val="24"/>
        </w:rPr>
        <w:t>Goluzina</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Shelepin</w:t>
      </w:r>
      <w:proofErr w:type="spellEnd"/>
      <w:r>
        <w:rPr>
          <w:rFonts w:ascii="Times New Roman" w:eastAsia="Times New Roman" w:hAnsi="Times New Roman" w:cs="Times New Roman"/>
          <w:sz w:val="24"/>
          <w:szCs w:val="24"/>
        </w:rPr>
        <w:t xml:space="preserve">, Y. (2012). Complexity of images: Experimental and computational estimates compared. </w:t>
      </w:r>
      <w:r>
        <w:rPr>
          <w:rFonts w:ascii="Times New Roman" w:eastAsia="Times New Roman" w:hAnsi="Times New Roman" w:cs="Times New Roman"/>
          <w:i/>
          <w:sz w:val="24"/>
          <w:szCs w:val="24"/>
        </w:rPr>
        <w:t>Perception</w:t>
      </w:r>
      <w:r>
        <w:rPr>
          <w:rFonts w:ascii="Times New Roman" w:eastAsia="Times New Roman" w:hAnsi="Times New Roman" w:cs="Times New Roman"/>
          <w:sz w:val="24"/>
          <w:szCs w:val="24"/>
        </w:rPr>
        <w:t>, 41(6), 631–647.</w:t>
      </w:r>
    </w:p>
    <w:p w14:paraId="5607EE77"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Chipman, S. F., &amp; Mendelson, M. J. (1979). Influence of six types of visual structure on complexity judgments in children and adults. </w:t>
      </w:r>
      <w:r>
        <w:rPr>
          <w:rFonts w:ascii="Times New Roman" w:eastAsia="Times New Roman" w:hAnsi="Times New Roman" w:cs="Times New Roman"/>
          <w:i/>
          <w:color w:val="000000"/>
          <w:sz w:val="24"/>
          <w:szCs w:val="24"/>
        </w:rPr>
        <w:t>Journal of Experimental Psychology: Human Perception and Performance</w:t>
      </w:r>
      <w:r>
        <w:rPr>
          <w:rFonts w:ascii="Times New Roman" w:eastAsia="Times New Roman" w:hAnsi="Times New Roman" w:cs="Times New Roman"/>
          <w:color w:val="000000"/>
          <w:sz w:val="24"/>
          <w:szCs w:val="24"/>
        </w:rPr>
        <w:t>, 5(2), 365–378.</w:t>
      </w:r>
    </w:p>
    <w:p w14:paraId="095440B9"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Ding, Y., Meng, X., &amp; Sun, C. (2024). Simplicity matters: Unraveling the impact of minimalist packaging on green trust in daily consumer goods. </w:t>
      </w:r>
      <w:r>
        <w:rPr>
          <w:rFonts w:ascii="Times New Roman" w:eastAsia="Times New Roman" w:hAnsi="Times New Roman" w:cs="Times New Roman"/>
          <w:i/>
          <w:color w:val="000000"/>
          <w:sz w:val="24"/>
          <w:szCs w:val="24"/>
        </w:rPr>
        <w:t>Sustainability</w:t>
      </w:r>
      <w:r>
        <w:rPr>
          <w:rFonts w:ascii="Times New Roman" w:eastAsia="Times New Roman" w:hAnsi="Times New Roman" w:cs="Times New Roman"/>
          <w:color w:val="000000"/>
          <w:sz w:val="24"/>
          <w:szCs w:val="24"/>
        </w:rPr>
        <w:t xml:space="preserve">, 16(12), 4932. </w:t>
      </w:r>
    </w:p>
    <w:p w14:paraId="0043A57E"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Donderi</w:t>
      </w:r>
      <w:proofErr w:type="spellEnd"/>
      <w:r>
        <w:rPr>
          <w:rFonts w:ascii="Times New Roman" w:eastAsia="Times New Roman" w:hAnsi="Times New Roman" w:cs="Times New Roman"/>
          <w:color w:val="000000"/>
          <w:sz w:val="24"/>
          <w:szCs w:val="24"/>
        </w:rPr>
        <w:t xml:space="preserve">, D. C. (2006). Visual complexity: A review. </w:t>
      </w:r>
      <w:r>
        <w:rPr>
          <w:rFonts w:ascii="Times New Roman" w:eastAsia="Times New Roman" w:hAnsi="Times New Roman" w:cs="Times New Roman"/>
          <w:i/>
          <w:color w:val="000000"/>
          <w:sz w:val="24"/>
          <w:szCs w:val="24"/>
        </w:rPr>
        <w:t>Psychological Bulletin</w:t>
      </w:r>
      <w:r>
        <w:rPr>
          <w:rFonts w:ascii="Times New Roman" w:eastAsia="Times New Roman" w:hAnsi="Times New Roman" w:cs="Times New Roman"/>
          <w:color w:val="000000"/>
          <w:sz w:val="24"/>
          <w:szCs w:val="24"/>
        </w:rPr>
        <w:t>, 132 (1), 73–97.</w:t>
      </w:r>
    </w:p>
    <w:p w14:paraId="3E3093A9"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Favier, M., </w:t>
      </w:r>
      <w:proofErr w:type="spellStart"/>
      <w:r>
        <w:rPr>
          <w:rFonts w:ascii="Times New Roman" w:eastAsia="Times New Roman" w:hAnsi="Times New Roman" w:cs="Times New Roman"/>
          <w:color w:val="000000"/>
          <w:sz w:val="24"/>
          <w:szCs w:val="24"/>
        </w:rPr>
        <w:t>Celhay</w:t>
      </w:r>
      <w:proofErr w:type="spellEnd"/>
      <w:r>
        <w:rPr>
          <w:rFonts w:ascii="Times New Roman" w:eastAsia="Times New Roman" w:hAnsi="Times New Roman" w:cs="Times New Roman"/>
          <w:color w:val="000000"/>
          <w:sz w:val="24"/>
          <w:szCs w:val="24"/>
        </w:rPr>
        <w:t>, F., &amp; Pantin-</w:t>
      </w:r>
      <w:proofErr w:type="spellStart"/>
      <w:r>
        <w:rPr>
          <w:rFonts w:ascii="Times New Roman" w:eastAsia="Times New Roman" w:hAnsi="Times New Roman" w:cs="Times New Roman"/>
          <w:color w:val="000000"/>
          <w:sz w:val="24"/>
          <w:szCs w:val="24"/>
        </w:rPr>
        <w:t>Sohier</w:t>
      </w:r>
      <w:proofErr w:type="spellEnd"/>
      <w:r>
        <w:rPr>
          <w:rFonts w:ascii="Times New Roman" w:eastAsia="Times New Roman" w:hAnsi="Times New Roman" w:cs="Times New Roman"/>
          <w:color w:val="000000"/>
          <w:sz w:val="24"/>
          <w:szCs w:val="24"/>
        </w:rPr>
        <w:t xml:space="preserve">, G. (2019). Is less more or a bore? Package design simplicity and brand perception: An application to Champagne. </w:t>
      </w:r>
      <w:r>
        <w:rPr>
          <w:rFonts w:ascii="Times New Roman" w:eastAsia="Times New Roman" w:hAnsi="Times New Roman" w:cs="Times New Roman"/>
          <w:i/>
          <w:color w:val="000000"/>
          <w:sz w:val="24"/>
          <w:szCs w:val="24"/>
        </w:rPr>
        <w:t>Journal of Retailing and Consumer Services</w:t>
      </w:r>
      <w:r>
        <w:rPr>
          <w:rFonts w:ascii="Times New Roman" w:eastAsia="Times New Roman" w:hAnsi="Times New Roman" w:cs="Times New Roman"/>
          <w:color w:val="000000"/>
          <w:sz w:val="24"/>
          <w:szCs w:val="24"/>
        </w:rPr>
        <w:t>, 46, 11–20.</w:t>
      </w:r>
    </w:p>
    <w:p w14:paraId="689D9FC6"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Fisher, C. D. (2003). Why do lay people believe that satisfaction and performance are correlated? Possible sources of a commonsense theory. </w:t>
      </w:r>
      <w:r>
        <w:rPr>
          <w:rFonts w:ascii="Times New Roman" w:eastAsia="Times New Roman" w:hAnsi="Times New Roman" w:cs="Times New Roman"/>
          <w:i/>
          <w:color w:val="000000"/>
          <w:sz w:val="24"/>
          <w:szCs w:val="24"/>
        </w:rPr>
        <w:t>Journal of Organizational Behavior</w:t>
      </w:r>
      <w:r>
        <w:rPr>
          <w:rFonts w:ascii="Times New Roman" w:eastAsia="Times New Roman" w:hAnsi="Times New Roman" w:cs="Times New Roman"/>
          <w:color w:val="000000"/>
          <w:sz w:val="24"/>
          <w:szCs w:val="24"/>
        </w:rPr>
        <w:t>, 24(6), 753–777.</w:t>
      </w:r>
    </w:p>
    <w:p w14:paraId="02074DF1"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Gartus</w:t>
      </w:r>
      <w:proofErr w:type="spellEnd"/>
      <w:r>
        <w:rPr>
          <w:rFonts w:ascii="Times New Roman" w:eastAsia="Times New Roman" w:hAnsi="Times New Roman" w:cs="Times New Roman"/>
          <w:color w:val="000000"/>
          <w:sz w:val="24"/>
          <w:szCs w:val="24"/>
        </w:rPr>
        <w:t xml:space="preserve">, A., &amp; Leder, H. (2017). Predicting perceived visual complexity of abstract patterns using computational measures: The influence of mirror symmetry on complexity perception. </w:t>
      </w:r>
      <w:proofErr w:type="spellStart"/>
      <w:r>
        <w:rPr>
          <w:rFonts w:ascii="Times New Roman" w:eastAsia="Times New Roman" w:hAnsi="Times New Roman" w:cs="Times New Roman"/>
          <w:i/>
          <w:color w:val="000000"/>
          <w:sz w:val="24"/>
          <w:szCs w:val="24"/>
        </w:rPr>
        <w:t>PLoS</w:t>
      </w:r>
      <w:proofErr w:type="spellEnd"/>
      <w:r>
        <w:rPr>
          <w:rFonts w:ascii="Times New Roman" w:eastAsia="Times New Roman" w:hAnsi="Times New Roman" w:cs="Times New Roman"/>
          <w:i/>
          <w:color w:val="000000"/>
          <w:sz w:val="24"/>
          <w:szCs w:val="24"/>
        </w:rPr>
        <w:t xml:space="preserve"> ONE</w:t>
      </w:r>
      <w:r>
        <w:rPr>
          <w:rFonts w:ascii="Times New Roman" w:eastAsia="Times New Roman" w:hAnsi="Times New Roman" w:cs="Times New Roman"/>
          <w:color w:val="000000"/>
          <w:sz w:val="24"/>
          <w:szCs w:val="24"/>
        </w:rPr>
        <w:t>, 12(11), 1–29.</w:t>
      </w:r>
    </w:p>
    <w:p w14:paraId="76200B35" w14:textId="7AEE2C38" w:rsidR="00300A4E" w:rsidRDefault="00300A4E">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sidRPr="00300A4E">
        <w:rPr>
          <w:rFonts w:ascii="Times New Roman" w:eastAsia="Times New Roman" w:hAnsi="Times New Roman" w:cs="Times New Roman"/>
          <w:color w:val="000000"/>
          <w:sz w:val="24"/>
          <w:szCs w:val="24"/>
        </w:rPr>
        <w:t>Graf, L. K., Mayer, S., &amp; Landwehr, J. R. (2018). Measuring processing fluency: One versus five items. </w:t>
      </w:r>
      <w:r w:rsidRPr="00300A4E">
        <w:rPr>
          <w:rFonts w:ascii="Times New Roman" w:eastAsia="Times New Roman" w:hAnsi="Times New Roman" w:cs="Times New Roman"/>
          <w:i/>
          <w:iCs/>
          <w:color w:val="000000"/>
          <w:sz w:val="24"/>
          <w:szCs w:val="24"/>
        </w:rPr>
        <w:t>Journal of Consumer Psychology</w:t>
      </w:r>
      <w:r w:rsidRPr="00300A4E">
        <w:rPr>
          <w:rFonts w:ascii="Times New Roman" w:eastAsia="Times New Roman" w:hAnsi="Times New Roman" w:cs="Times New Roman"/>
          <w:color w:val="000000"/>
          <w:sz w:val="24"/>
          <w:szCs w:val="24"/>
        </w:rPr>
        <w:t>, </w:t>
      </w:r>
      <w:r w:rsidRPr="00300A4E">
        <w:rPr>
          <w:rFonts w:ascii="Times New Roman" w:eastAsia="Times New Roman" w:hAnsi="Times New Roman" w:cs="Times New Roman"/>
          <w:i/>
          <w:iCs/>
          <w:color w:val="000000"/>
          <w:sz w:val="24"/>
          <w:szCs w:val="24"/>
        </w:rPr>
        <w:t>28</w:t>
      </w:r>
      <w:r w:rsidRPr="00300A4E">
        <w:rPr>
          <w:rFonts w:ascii="Times New Roman" w:eastAsia="Times New Roman" w:hAnsi="Times New Roman" w:cs="Times New Roman"/>
          <w:color w:val="000000"/>
          <w:sz w:val="24"/>
          <w:szCs w:val="24"/>
        </w:rPr>
        <w:t>(3), 393-411.</w:t>
      </w:r>
    </w:p>
    <w:p w14:paraId="6D45D650"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Gungor, A., &amp; Gupta, S. M. (1999). Issues in environmentally conscious manufacturing and product recovery: A survey. </w:t>
      </w:r>
      <w:r>
        <w:rPr>
          <w:rFonts w:ascii="Times New Roman" w:eastAsia="Times New Roman" w:hAnsi="Times New Roman" w:cs="Times New Roman"/>
          <w:i/>
          <w:color w:val="000000"/>
          <w:sz w:val="24"/>
          <w:szCs w:val="24"/>
        </w:rPr>
        <w:t>Computers and Industrial Engineering</w:t>
      </w:r>
      <w:r>
        <w:rPr>
          <w:rFonts w:ascii="Times New Roman" w:eastAsia="Times New Roman" w:hAnsi="Times New Roman" w:cs="Times New Roman"/>
          <w:color w:val="000000"/>
          <w:sz w:val="24"/>
          <w:szCs w:val="24"/>
        </w:rPr>
        <w:t>, 36(4), 811–853.</w:t>
      </w:r>
    </w:p>
    <w:p w14:paraId="2B3BAB02"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Hagtvedt, H., &amp; Patrick, V. M. (2008). Art infusion: The influence of visual art on the perception and evaluation of consumer products. </w:t>
      </w:r>
      <w:r>
        <w:rPr>
          <w:rFonts w:ascii="Times New Roman" w:eastAsia="Times New Roman" w:hAnsi="Times New Roman" w:cs="Times New Roman"/>
          <w:i/>
          <w:color w:val="000000"/>
          <w:sz w:val="24"/>
          <w:szCs w:val="24"/>
        </w:rPr>
        <w:t>Journal of Marketing Research</w:t>
      </w:r>
      <w:r>
        <w:rPr>
          <w:rFonts w:ascii="Times New Roman" w:eastAsia="Times New Roman" w:hAnsi="Times New Roman" w:cs="Times New Roman"/>
          <w:color w:val="000000"/>
          <w:sz w:val="24"/>
          <w:szCs w:val="24"/>
        </w:rPr>
        <w:t>, 45(3), 379–389.</w:t>
      </w:r>
    </w:p>
    <w:p w14:paraId="2B1C445E"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Hayes, A. F. (2023). </w:t>
      </w:r>
      <w:r>
        <w:rPr>
          <w:rFonts w:ascii="Times New Roman" w:eastAsia="Times New Roman" w:hAnsi="Times New Roman" w:cs="Times New Roman"/>
          <w:i/>
          <w:color w:val="000000"/>
          <w:sz w:val="24"/>
          <w:szCs w:val="24"/>
        </w:rPr>
        <w:t xml:space="preserve">Introduction to Mediation, Moderation, and Conditional Process Analysis: A Regression-Based Approach </w:t>
      </w:r>
      <w:r>
        <w:rPr>
          <w:rFonts w:ascii="Times New Roman" w:eastAsia="Times New Roman" w:hAnsi="Times New Roman" w:cs="Times New Roman"/>
          <w:color w:val="000000"/>
          <w:sz w:val="24"/>
          <w:szCs w:val="24"/>
        </w:rPr>
        <w:t>(3rd ed.). New York, NY: The Guilford Press.</w:t>
      </w:r>
    </w:p>
    <w:p w14:paraId="76779F6A"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He, Y., Li, X., &amp; Chen, Z. (2025). Aversion to human intervention: Why food in complex packaging design is perceived as less healthy. </w:t>
      </w:r>
      <w:r>
        <w:rPr>
          <w:rFonts w:ascii="Times New Roman" w:eastAsia="Times New Roman" w:hAnsi="Times New Roman" w:cs="Times New Roman"/>
          <w:i/>
          <w:color w:val="000000"/>
          <w:sz w:val="24"/>
          <w:szCs w:val="24"/>
        </w:rPr>
        <w:t>Psychology &amp; Marketing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42</w:t>
      </w:r>
      <w:r>
        <w:rPr>
          <w:rFonts w:ascii="Times New Roman" w:eastAsia="Times New Roman" w:hAnsi="Times New Roman" w:cs="Times New Roman"/>
          <w:color w:val="000000"/>
          <w:sz w:val="24"/>
          <w:szCs w:val="24"/>
        </w:rPr>
        <w:t xml:space="preserve">(3), 907–920. </w:t>
      </w:r>
    </w:p>
    <w:p w14:paraId="662B9A78"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Hutchinson, A., Whitman, R. D., </w:t>
      </w:r>
      <w:proofErr w:type="spellStart"/>
      <w:r>
        <w:rPr>
          <w:rFonts w:ascii="Times New Roman" w:eastAsia="Times New Roman" w:hAnsi="Times New Roman" w:cs="Times New Roman"/>
          <w:color w:val="000000"/>
          <w:sz w:val="24"/>
          <w:szCs w:val="24"/>
        </w:rPr>
        <w:t>Abeare</w:t>
      </w:r>
      <w:proofErr w:type="spellEnd"/>
      <w:r>
        <w:rPr>
          <w:rFonts w:ascii="Times New Roman" w:eastAsia="Times New Roman" w:hAnsi="Times New Roman" w:cs="Times New Roman"/>
          <w:color w:val="000000"/>
          <w:sz w:val="24"/>
          <w:szCs w:val="24"/>
        </w:rPr>
        <w:t xml:space="preserve">, C., &amp; Raiter, J. (2003). The unification of mind: Integration of hemispheric semantic processing. </w:t>
      </w:r>
      <w:r>
        <w:rPr>
          <w:rFonts w:ascii="Times New Roman" w:eastAsia="Times New Roman" w:hAnsi="Times New Roman" w:cs="Times New Roman"/>
          <w:i/>
          <w:color w:val="000000"/>
          <w:sz w:val="24"/>
          <w:szCs w:val="24"/>
        </w:rPr>
        <w:t>Brain and Language</w:t>
      </w:r>
      <w:r>
        <w:rPr>
          <w:rFonts w:ascii="Times New Roman" w:eastAsia="Times New Roman" w:hAnsi="Times New Roman" w:cs="Times New Roman"/>
          <w:color w:val="000000"/>
          <w:sz w:val="24"/>
          <w:szCs w:val="24"/>
        </w:rPr>
        <w:t>, 87(3), 361–368.</w:t>
      </w:r>
    </w:p>
    <w:p w14:paraId="31D1DC44"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Johnson, E. J., </w:t>
      </w:r>
      <w:proofErr w:type="spellStart"/>
      <w:r>
        <w:rPr>
          <w:rFonts w:ascii="Times New Roman" w:eastAsia="Times New Roman" w:hAnsi="Times New Roman" w:cs="Times New Roman"/>
          <w:color w:val="000000"/>
          <w:sz w:val="24"/>
          <w:szCs w:val="24"/>
        </w:rPr>
        <w:t>Häubl</w:t>
      </w:r>
      <w:proofErr w:type="spellEnd"/>
      <w:r>
        <w:rPr>
          <w:rFonts w:ascii="Times New Roman" w:eastAsia="Times New Roman" w:hAnsi="Times New Roman" w:cs="Times New Roman"/>
          <w:color w:val="000000"/>
          <w:sz w:val="24"/>
          <w:szCs w:val="24"/>
        </w:rPr>
        <w:t xml:space="preserve">, G., &amp; Keinan, A. (2007). Aspects of endowment: A query theory of value construction. </w:t>
      </w:r>
      <w:r>
        <w:rPr>
          <w:rFonts w:ascii="Times New Roman" w:eastAsia="Times New Roman" w:hAnsi="Times New Roman" w:cs="Times New Roman"/>
          <w:i/>
          <w:color w:val="000000"/>
          <w:sz w:val="24"/>
          <w:szCs w:val="24"/>
        </w:rPr>
        <w:t>Journal of Experimental Psychology: Learning Memory and Cognition</w:t>
      </w:r>
      <w:r>
        <w:rPr>
          <w:rFonts w:ascii="Times New Roman" w:eastAsia="Times New Roman" w:hAnsi="Times New Roman" w:cs="Times New Roman"/>
          <w:color w:val="000000"/>
          <w:sz w:val="24"/>
          <w:szCs w:val="24"/>
        </w:rPr>
        <w:t>, 33(3), 461–474.</w:t>
      </w:r>
    </w:p>
    <w:p w14:paraId="5AFBDB0B"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Kardes</w:t>
      </w:r>
      <w:proofErr w:type="spellEnd"/>
      <w:r>
        <w:rPr>
          <w:rFonts w:ascii="Times New Roman" w:eastAsia="Times New Roman" w:hAnsi="Times New Roman" w:cs="Times New Roman"/>
          <w:color w:val="000000"/>
          <w:sz w:val="24"/>
          <w:szCs w:val="24"/>
        </w:rPr>
        <w:t xml:space="preserve">, F. R., Posavac, S. S., &amp; Cronley, M. L. (2004). Consumer inference: A review of processes, bases, and judgment contexts. </w:t>
      </w:r>
      <w:r>
        <w:rPr>
          <w:rFonts w:ascii="Times New Roman" w:eastAsia="Times New Roman" w:hAnsi="Times New Roman" w:cs="Times New Roman"/>
          <w:i/>
          <w:color w:val="000000"/>
          <w:sz w:val="24"/>
          <w:szCs w:val="24"/>
        </w:rPr>
        <w:t>Journal of Consumer Psychology</w:t>
      </w:r>
      <w:r>
        <w:rPr>
          <w:rFonts w:ascii="Times New Roman" w:eastAsia="Times New Roman" w:hAnsi="Times New Roman" w:cs="Times New Roman"/>
          <w:color w:val="000000"/>
          <w:sz w:val="24"/>
          <w:szCs w:val="24"/>
        </w:rPr>
        <w:t>, 14(3), 230–256.</w:t>
      </w:r>
    </w:p>
    <w:p w14:paraId="0B0F13A2"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Kelley, H. H., &amp; Thibaut, J. W. (1969). Group problem solving. In G. Lindzey &amp; E. Aronson (Eds.), </w:t>
      </w:r>
      <w:r>
        <w:rPr>
          <w:rFonts w:ascii="Times New Roman" w:eastAsia="Times New Roman" w:hAnsi="Times New Roman" w:cs="Times New Roman"/>
          <w:i/>
          <w:color w:val="000000"/>
          <w:sz w:val="24"/>
          <w:szCs w:val="24"/>
        </w:rPr>
        <w:t>The Handbook of Social Psychology</w:t>
      </w:r>
      <w:r>
        <w:rPr>
          <w:rFonts w:ascii="Times New Roman" w:eastAsia="Times New Roman" w:hAnsi="Times New Roman" w:cs="Times New Roman"/>
          <w:color w:val="000000"/>
          <w:sz w:val="24"/>
          <w:szCs w:val="24"/>
        </w:rPr>
        <w:t xml:space="preserve"> (2nd ed., pp. 1–101). Oxford, UK: Addison-Wesley.</w:t>
      </w:r>
    </w:p>
    <w:p w14:paraId="5C70F123"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Kruglanski, A. W. (1996). Goals as knowledge structures. In P. M. Gollwitzer &amp; J. A. </w:t>
      </w:r>
      <w:proofErr w:type="spellStart"/>
      <w:r>
        <w:rPr>
          <w:rFonts w:ascii="Times New Roman" w:eastAsia="Times New Roman" w:hAnsi="Times New Roman" w:cs="Times New Roman"/>
          <w:color w:val="000000"/>
          <w:sz w:val="24"/>
          <w:szCs w:val="24"/>
        </w:rPr>
        <w:t>Bargh</w:t>
      </w:r>
      <w:proofErr w:type="spellEnd"/>
      <w:r>
        <w:rPr>
          <w:rFonts w:ascii="Times New Roman" w:eastAsia="Times New Roman" w:hAnsi="Times New Roman" w:cs="Times New Roman"/>
          <w:color w:val="000000"/>
          <w:sz w:val="24"/>
          <w:szCs w:val="24"/>
        </w:rPr>
        <w:t xml:space="preserve"> (Eds.), </w:t>
      </w:r>
      <w:r>
        <w:rPr>
          <w:rFonts w:ascii="Times New Roman" w:eastAsia="Times New Roman" w:hAnsi="Times New Roman" w:cs="Times New Roman"/>
          <w:i/>
          <w:color w:val="000000"/>
          <w:sz w:val="24"/>
          <w:szCs w:val="24"/>
        </w:rPr>
        <w:t>The Psychology of Action: Linking Cognition and Motivation to Behavior</w:t>
      </w:r>
      <w:r>
        <w:rPr>
          <w:rFonts w:ascii="Times New Roman" w:eastAsia="Times New Roman" w:hAnsi="Times New Roman" w:cs="Times New Roman"/>
          <w:color w:val="000000"/>
          <w:sz w:val="24"/>
          <w:szCs w:val="24"/>
        </w:rPr>
        <w:t xml:space="preserve"> (pp. 599–618). New York, NY: The Guilford Press.</w:t>
      </w:r>
    </w:p>
    <w:p w14:paraId="73DFA9E6"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Liang, K. Y., &amp; Zeger, S. L. (1986). Longitudinal data analysis using generalized linear models. </w:t>
      </w:r>
      <w:proofErr w:type="spellStart"/>
      <w:r>
        <w:rPr>
          <w:rFonts w:ascii="Times New Roman" w:eastAsia="Times New Roman" w:hAnsi="Times New Roman" w:cs="Times New Roman"/>
          <w:i/>
          <w:color w:val="000000"/>
          <w:sz w:val="24"/>
          <w:szCs w:val="24"/>
        </w:rPr>
        <w:t>Biometrika</w:t>
      </w:r>
      <w:proofErr w:type="spellEnd"/>
      <w:r>
        <w:rPr>
          <w:rFonts w:ascii="Times New Roman" w:eastAsia="Times New Roman" w:hAnsi="Times New Roman" w:cs="Times New Roman"/>
          <w:color w:val="000000"/>
          <w:sz w:val="24"/>
          <w:szCs w:val="24"/>
        </w:rPr>
        <w:t>, 73(1), 13–22.</w:t>
      </w:r>
    </w:p>
    <w:p w14:paraId="6685C2C1"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Light, N., &amp; Fernbach, P. M. (2024). Keep it simple? Consumer perceptions of brand simplicity and risk. </w:t>
      </w:r>
      <w:r>
        <w:rPr>
          <w:rFonts w:ascii="Times New Roman" w:eastAsia="Times New Roman" w:hAnsi="Times New Roman" w:cs="Times New Roman"/>
          <w:i/>
          <w:color w:val="000000"/>
          <w:sz w:val="24"/>
          <w:szCs w:val="24"/>
        </w:rPr>
        <w:t>Journal of Marketing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61</w:t>
      </w:r>
      <w:r>
        <w:rPr>
          <w:rFonts w:ascii="Times New Roman" w:eastAsia="Times New Roman" w:hAnsi="Times New Roman" w:cs="Times New Roman"/>
          <w:color w:val="000000"/>
          <w:sz w:val="24"/>
          <w:szCs w:val="24"/>
        </w:rPr>
        <w:t xml:space="preserve">(6), 1152–1170. </w:t>
      </w:r>
    </w:p>
    <w:p w14:paraId="348D5D07"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Luchs, M. G., Naylor, R. W., Irwin, J. R., &amp; Raghunathan, R. (2010). The sustainability liability: Potential negative effects of ethicality on product preference. </w:t>
      </w:r>
      <w:r>
        <w:rPr>
          <w:rFonts w:ascii="Times New Roman" w:eastAsia="Times New Roman" w:hAnsi="Times New Roman" w:cs="Times New Roman"/>
          <w:i/>
          <w:color w:val="000000"/>
          <w:sz w:val="24"/>
          <w:szCs w:val="24"/>
        </w:rPr>
        <w:t>Journal of Marketing</w:t>
      </w:r>
      <w:r>
        <w:rPr>
          <w:rFonts w:ascii="Times New Roman" w:eastAsia="Times New Roman" w:hAnsi="Times New Roman" w:cs="Times New Roman"/>
          <w:color w:val="000000"/>
          <w:sz w:val="24"/>
          <w:szCs w:val="24"/>
        </w:rPr>
        <w:t>, 74(5), 18–31.</w:t>
      </w:r>
    </w:p>
    <w:p w14:paraId="2E369323"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Machado, P., Romero, J., Nadal, M., Santos, A., Correia, J., &amp; </w:t>
      </w:r>
      <w:proofErr w:type="spellStart"/>
      <w:r>
        <w:rPr>
          <w:rFonts w:ascii="Times New Roman" w:eastAsia="Times New Roman" w:hAnsi="Times New Roman" w:cs="Times New Roman"/>
          <w:color w:val="000000"/>
          <w:sz w:val="24"/>
          <w:szCs w:val="24"/>
        </w:rPr>
        <w:t>Carballal</w:t>
      </w:r>
      <w:proofErr w:type="spellEnd"/>
      <w:r>
        <w:rPr>
          <w:rFonts w:ascii="Times New Roman" w:eastAsia="Times New Roman" w:hAnsi="Times New Roman" w:cs="Times New Roman"/>
          <w:color w:val="000000"/>
          <w:sz w:val="24"/>
          <w:szCs w:val="24"/>
        </w:rPr>
        <w:t xml:space="preserve">, A. (2015). Computerized measures of visual complexity. </w:t>
      </w:r>
      <w:r>
        <w:rPr>
          <w:rFonts w:ascii="Times New Roman" w:eastAsia="Times New Roman" w:hAnsi="Times New Roman" w:cs="Times New Roman"/>
          <w:i/>
          <w:color w:val="000000"/>
          <w:sz w:val="24"/>
          <w:szCs w:val="24"/>
        </w:rPr>
        <w:t xml:space="preserve">Acta </w:t>
      </w:r>
      <w:proofErr w:type="spellStart"/>
      <w:r>
        <w:rPr>
          <w:rFonts w:ascii="Times New Roman" w:eastAsia="Times New Roman" w:hAnsi="Times New Roman" w:cs="Times New Roman"/>
          <w:i/>
          <w:color w:val="000000"/>
          <w:sz w:val="24"/>
          <w:szCs w:val="24"/>
        </w:rPr>
        <w:t>Psychologica</w:t>
      </w:r>
      <w:proofErr w:type="spellEnd"/>
      <w:r>
        <w:rPr>
          <w:rFonts w:ascii="Times New Roman" w:eastAsia="Times New Roman" w:hAnsi="Times New Roman" w:cs="Times New Roman"/>
          <w:color w:val="000000"/>
          <w:sz w:val="24"/>
          <w:szCs w:val="24"/>
        </w:rPr>
        <w:t>, 160, 43–57.</w:t>
      </w:r>
    </w:p>
    <w:p w14:paraId="7EB76507"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Madan, S., Savani, K., &amp; Johar, G. V. (2022). How you look is who you are: The appearance reveals character lay theory increases support for </w:t>
      </w:r>
      <w:proofErr w:type="spellStart"/>
      <w:r>
        <w:rPr>
          <w:rFonts w:ascii="Times New Roman" w:eastAsia="Times New Roman" w:hAnsi="Times New Roman" w:cs="Times New Roman"/>
          <w:color w:val="000000"/>
          <w:sz w:val="24"/>
          <w:szCs w:val="24"/>
        </w:rPr>
        <w:t>facial</w:t>
      </w:r>
      <w:proofErr w:type="spellEnd"/>
      <w:r>
        <w:rPr>
          <w:rFonts w:ascii="Times New Roman" w:eastAsia="Times New Roman" w:hAnsi="Times New Roman" w:cs="Times New Roman"/>
          <w:color w:val="000000"/>
          <w:sz w:val="24"/>
          <w:szCs w:val="24"/>
        </w:rPr>
        <w:t xml:space="preserve"> profiling. </w:t>
      </w:r>
      <w:r>
        <w:rPr>
          <w:rFonts w:ascii="Times New Roman" w:eastAsia="Times New Roman" w:hAnsi="Times New Roman" w:cs="Times New Roman"/>
          <w:i/>
          <w:color w:val="000000"/>
          <w:sz w:val="24"/>
          <w:szCs w:val="24"/>
        </w:rPr>
        <w:t>Journal of Personality and Social Psychology</w:t>
      </w:r>
      <w:r>
        <w:rPr>
          <w:rFonts w:ascii="Times New Roman" w:eastAsia="Times New Roman" w:hAnsi="Times New Roman" w:cs="Times New Roman"/>
          <w:color w:val="000000"/>
          <w:sz w:val="24"/>
          <w:szCs w:val="24"/>
        </w:rPr>
        <w:t>, 123(6), 1223–1242.</w:t>
      </w:r>
    </w:p>
    <w:p w14:paraId="5CABAA0A"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Madzharov, A. V., Ramanathan, S., &amp; Block, L. G. (2016). The halo effect of product color lightness on hedonic food consumption. </w:t>
      </w:r>
      <w:r>
        <w:rPr>
          <w:rFonts w:ascii="Times New Roman" w:eastAsia="Times New Roman" w:hAnsi="Times New Roman" w:cs="Times New Roman"/>
          <w:i/>
          <w:color w:val="000000"/>
          <w:sz w:val="24"/>
          <w:szCs w:val="24"/>
        </w:rPr>
        <w:t>Journal of the Association for Consumer Research</w:t>
      </w:r>
      <w:r>
        <w:rPr>
          <w:rFonts w:ascii="Times New Roman" w:eastAsia="Times New Roman" w:hAnsi="Times New Roman" w:cs="Times New Roman"/>
          <w:color w:val="000000"/>
          <w:sz w:val="24"/>
          <w:szCs w:val="24"/>
        </w:rPr>
        <w:t>, 1(4), 579–591.</w:t>
      </w:r>
    </w:p>
    <w:p w14:paraId="40A71C12"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Marin, M. M., &amp; Leder, H. (2013). Examining complexity across domains: Relating subjective and objective measures of affective environmental scenes, paintings and music. </w:t>
      </w:r>
      <w:proofErr w:type="spellStart"/>
      <w:r>
        <w:rPr>
          <w:rFonts w:ascii="Times New Roman" w:eastAsia="Times New Roman" w:hAnsi="Times New Roman" w:cs="Times New Roman"/>
          <w:i/>
          <w:color w:val="000000"/>
          <w:sz w:val="24"/>
          <w:szCs w:val="24"/>
        </w:rPr>
        <w:t>PLoS</w:t>
      </w:r>
      <w:proofErr w:type="spellEnd"/>
      <w:r>
        <w:rPr>
          <w:rFonts w:ascii="Times New Roman" w:eastAsia="Times New Roman" w:hAnsi="Times New Roman" w:cs="Times New Roman"/>
          <w:i/>
          <w:color w:val="000000"/>
          <w:sz w:val="24"/>
          <w:szCs w:val="24"/>
        </w:rPr>
        <w:t xml:space="preserve"> ONE</w:t>
      </w:r>
      <w:r>
        <w:rPr>
          <w:rFonts w:ascii="Times New Roman" w:eastAsia="Times New Roman" w:hAnsi="Times New Roman" w:cs="Times New Roman"/>
          <w:color w:val="000000"/>
          <w:sz w:val="24"/>
          <w:szCs w:val="24"/>
        </w:rPr>
        <w:t>, 8(8), 1–35.</w:t>
      </w:r>
    </w:p>
    <w:p w14:paraId="65ECC198"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Masson, M. E. J. (1995). A distributed memory model of semantic priming. </w:t>
      </w:r>
      <w:r>
        <w:rPr>
          <w:rFonts w:ascii="Times New Roman" w:eastAsia="Times New Roman" w:hAnsi="Times New Roman" w:cs="Times New Roman"/>
          <w:i/>
          <w:color w:val="000000"/>
          <w:sz w:val="24"/>
          <w:szCs w:val="24"/>
        </w:rPr>
        <w:t>Journal of Experimental Psychology: Learning, Memory, and Cognition</w:t>
      </w:r>
      <w:r>
        <w:rPr>
          <w:rFonts w:ascii="Times New Roman" w:eastAsia="Times New Roman" w:hAnsi="Times New Roman" w:cs="Times New Roman"/>
          <w:color w:val="000000"/>
          <w:sz w:val="24"/>
          <w:szCs w:val="24"/>
        </w:rPr>
        <w:t>, 21(1), 3–23.</w:t>
      </w:r>
    </w:p>
    <w:p w14:paraId="46CBC301"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McRae, K., &amp; Boisvert, S. (1998). Automatic semantic similarity priming. </w:t>
      </w:r>
      <w:r>
        <w:rPr>
          <w:rFonts w:ascii="Times New Roman" w:eastAsia="Times New Roman" w:hAnsi="Times New Roman" w:cs="Times New Roman"/>
          <w:i/>
          <w:color w:val="000000"/>
          <w:sz w:val="24"/>
          <w:szCs w:val="24"/>
        </w:rPr>
        <w:t>Journal of Experimental Psychology: Learning Memory and Cognition</w:t>
      </w:r>
      <w:r>
        <w:rPr>
          <w:rFonts w:ascii="Times New Roman" w:eastAsia="Times New Roman" w:hAnsi="Times New Roman" w:cs="Times New Roman"/>
          <w:color w:val="000000"/>
          <w:sz w:val="24"/>
          <w:szCs w:val="24"/>
        </w:rPr>
        <w:t>, 24(3), 558–572.</w:t>
      </w:r>
    </w:p>
    <w:p w14:paraId="1204CE97"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McQuarrie, E. F., &amp; Mick, D. G. (1999). Visual rhetoric in advertising: Text-interpretive, experimental, and reader-response analyses. </w:t>
      </w:r>
      <w:r>
        <w:rPr>
          <w:rFonts w:ascii="Times New Roman" w:eastAsia="Times New Roman" w:hAnsi="Times New Roman" w:cs="Times New Roman"/>
          <w:i/>
          <w:color w:val="000000"/>
          <w:sz w:val="24"/>
          <w:szCs w:val="24"/>
        </w:rPr>
        <w:t>Journal of Consumer Research</w:t>
      </w:r>
      <w:r>
        <w:rPr>
          <w:rFonts w:ascii="Times New Roman" w:eastAsia="Times New Roman" w:hAnsi="Times New Roman" w:cs="Times New Roman"/>
          <w:color w:val="000000"/>
          <w:sz w:val="24"/>
          <w:szCs w:val="24"/>
        </w:rPr>
        <w:t>, 26(1), 37–54.</w:t>
      </w:r>
    </w:p>
    <w:p w14:paraId="5D76266F"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 L., Liu, P. J., &amp; Anderson, C. (2025). The visual complexity = higher production cost lay belief. </w:t>
      </w:r>
      <w:r>
        <w:rPr>
          <w:rFonts w:ascii="Times New Roman" w:eastAsia="Times New Roman" w:hAnsi="Times New Roman" w:cs="Times New Roman"/>
          <w:i/>
          <w:color w:val="000000"/>
          <w:sz w:val="24"/>
          <w:szCs w:val="24"/>
        </w:rPr>
        <w:t>Journal of Consumer Research</w:t>
      </w:r>
      <w:r>
        <w:rPr>
          <w:rFonts w:ascii="Times New Roman" w:eastAsia="Times New Roman" w:hAnsi="Times New Roman" w:cs="Times New Roman"/>
          <w:color w:val="000000"/>
          <w:sz w:val="24"/>
          <w:szCs w:val="24"/>
        </w:rPr>
        <w:t>, 61(2), 1167–1185.</w:t>
      </w:r>
    </w:p>
    <w:p w14:paraId="18AD5747"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Nadal, M., Munar, E., Marty, G., &amp; Cela-Conde, C. (2010). Visual complexity and beauty appreciation: Explaining the divergence of results. </w:t>
      </w:r>
      <w:r>
        <w:rPr>
          <w:rFonts w:ascii="Times New Roman" w:eastAsia="Times New Roman" w:hAnsi="Times New Roman" w:cs="Times New Roman"/>
          <w:i/>
          <w:color w:val="000000"/>
          <w:sz w:val="24"/>
          <w:szCs w:val="24"/>
        </w:rPr>
        <w:t>Empirical Studies of the Arts</w:t>
      </w:r>
      <w:r>
        <w:rPr>
          <w:rFonts w:ascii="Times New Roman" w:eastAsia="Times New Roman" w:hAnsi="Times New Roman" w:cs="Times New Roman"/>
          <w:color w:val="000000"/>
          <w:sz w:val="24"/>
          <w:szCs w:val="24"/>
        </w:rPr>
        <w:t>, 28(2), 173–191.</w:t>
      </w:r>
    </w:p>
    <w:p w14:paraId="4CFA084C"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Nikulina, O., van Riel, A. C. R., </w:t>
      </w:r>
      <w:proofErr w:type="spellStart"/>
      <w:r>
        <w:rPr>
          <w:rFonts w:ascii="Times New Roman" w:eastAsia="Times New Roman" w:hAnsi="Times New Roman" w:cs="Times New Roman"/>
          <w:color w:val="000000"/>
          <w:sz w:val="24"/>
          <w:szCs w:val="24"/>
        </w:rPr>
        <w:t>Lemmink</w:t>
      </w:r>
      <w:proofErr w:type="spellEnd"/>
      <w:r>
        <w:rPr>
          <w:rFonts w:ascii="Times New Roman" w:eastAsia="Times New Roman" w:hAnsi="Times New Roman" w:cs="Times New Roman"/>
          <w:color w:val="000000"/>
          <w:sz w:val="24"/>
          <w:szCs w:val="24"/>
        </w:rPr>
        <w:t xml:space="preserve">, J. G. A. M., Grewal, D., &amp; </w:t>
      </w:r>
      <w:proofErr w:type="spellStart"/>
      <w:r>
        <w:rPr>
          <w:rFonts w:ascii="Times New Roman" w:eastAsia="Times New Roman" w:hAnsi="Times New Roman" w:cs="Times New Roman"/>
          <w:color w:val="000000"/>
          <w:sz w:val="24"/>
          <w:szCs w:val="24"/>
        </w:rPr>
        <w:t>Wetzels</w:t>
      </w:r>
      <w:proofErr w:type="spellEnd"/>
      <w:r>
        <w:rPr>
          <w:rFonts w:ascii="Times New Roman" w:eastAsia="Times New Roman" w:hAnsi="Times New Roman" w:cs="Times New Roman"/>
          <w:color w:val="000000"/>
          <w:sz w:val="24"/>
          <w:szCs w:val="24"/>
        </w:rPr>
        <w:t>, M. (2024). Narrate, act, and resonate to tell a visual story: A systematic review of how images transport viewers. </w:t>
      </w:r>
      <w:r>
        <w:rPr>
          <w:rFonts w:ascii="Times New Roman" w:eastAsia="Times New Roman" w:hAnsi="Times New Roman" w:cs="Times New Roman"/>
          <w:i/>
          <w:color w:val="000000"/>
          <w:sz w:val="24"/>
          <w:szCs w:val="24"/>
        </w:rPr>
        <w:t>Journal of Advertising</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53</w:t>
      </w:r>
      <w:r>
        <w:rPr>
          <w:rFonts w:ascii="Times New Roman" w:eastAsia="Times New Roman" w:hAnsi="Times New Roman" w:cs="Times New Roman"/>
          <w:color w:val="000000"/>
          <w:sz w:val="24"/>
          <w:szCs w:val="24"/>
        </w:rPr>
        <w:t>(4), 605–625.</w:t>
      </w:r>
    </w:p>
    <w:p w14:paraId="2F1D2CB8"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Orth, U. R., &amp; </w:t>
      </w:r>
      <w:proofErr w:type="spellStart"/>
      <w:r>
        <w:rPr>
          <w:rFonts w:ascii="Times New Roman" w:eastAsia="Times New Roman" w:hAnsi="Times New Roman" w:cs="Times New Roman"/>
          <w:color w:val="000000"/>
          <w:sz w:val="24"/>
          <w:szCs w:val="24"/>
        </w:rPr>
        <w:t>Malkewitz</w:t>
      </w:r>
      <w:proofErr w:type="spellEnd"/>
      <w:r>
        <w:rPr>
          <w:rFonts w:ascii="Times New Roman" w:eastAsia="Times New Roman" w:hAnsi="Times New Roman" w:cs="Times New Roman"/>
          <w:color w:val="000000"/>
          <w:sz w:val="24"/>
          <w:szCs w:val="24"/>
        </w:rPr>
        <w:t xml:space="preserve">, K. (2008). Holistic package design and consumer brand impressions. </w:t>
      </w:r>
      <w:r>
        <w:rPr>
          <w:rFonts w:ascii="Times New Roman" w:eastAsia="Times New Roman" w:hAnsi="Times New Roman" w:cs="Times New Roman"/>
          <w:i/>
          <w:color w:val="000000"/>
          <w:sz w:val="24"/>
          <w:szCs w:val="24"/>
        </w:rPr>
        <w:t>Journal of Marketing</w:t>
      </w:r>
      <w:r>
        <w:rPr>
          <w:rFonts w:ascii="Times New Roman" w:eastAsia="Times New Roman" w:hAnsi="Times New Roman" w:cs="Times New Roman"/>
          <w:color w:val="000000"/>
          <w:sz w:val="24"/>
          <w:szCs w:val="24"/>
        </w:rPr>
        <w:t>, 72(3), 64–81.</w:t>
      </w:r>
    </w:p>
    <w:p w14:paraId="0D4951E8"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Pieters, R., Wedel, M., &amp; Batra, R. (2010). The stopping power of advertising: Measures and effects of visual complexity. </w:t>
      </w:r>
      <w:r>
        <w:rPr>
          <w:rFonts w:ascii="Times New Roman" w:eastAsia="Times New Roman" w:hAnsi="Times New Roman" w:cs="Times New Roman"/>
          <w:i/>
          <w:color w:val="000000"/>
          <w:sz w:val="24"/>
          <w:szCs w:val="24"/>
        </w:rPr>
        <w:t>Journal of Marketing</w:t>
      </w:r>
      <w:r>
        <w:rPr>
          <w:rFonts w:ascii="Times New Roman" w:eastAsia="Times New Roman" w:hAnsi="Times New Roman" w:cs="Times New Roman"/>
          <w:color w:val="000000"/>
          <w:sz w:val="24"/>
          <w:szCs w:val="24"/>
        </w:rPr>
        <w:t>, 74(5), 48–60.</w:t>
      </w:r>
    </w:p>
    <w:p w14:paraId="50D7FA8F"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Pracejus</w:t>
      </w:r>
      <w:proofErr w:type="spellEnd"/>
      <w:r>
        <w:rPr>
          <w:rFonts w:ascii="Times New Roman" w:eastAsia="Times New Roman" w:hAnsi="Times New Roman" w:cs="Times New Roman"/>
          <w:color w:val="000000"/>
          <w:sz w:val="24"/>
          <w:szCs w:val="24"/>
        </w:rPr>
        <w:t xml:space="preserve">, J. W., Olsen, G. D., &amp; O’Guinn, T. C. (2006). How nothing became something: White space, rhetoric, history, and meaning. </w:t>
      </w:r>
      <w:r>
        <w:rPr>
          <w:rFonts w:ascii="Times New Roman" w:eastAsia="Times New Roman" w:hAnsi="Times New Roman" w:cs="Times New Roman"/>
          <w:i/>
          <w:color w:val="000000"/>
          <w:sz w:val="24"/>
          <w:szCs w:val="24"/>
        </w:rPr>
        <w:t>Journal of Consumer Research</w:t>
      </w:r>
      <w:r>
        <w:rPr>
          <w:rFonts w:ascii="Times New Roman" w:eastAsia="Times New Roman" w:hAnsi="Times New Roman" w:cs="Times New Roman"/>
          <w:color w:val="000000"/>
          <w:sz w:val="24"/>
          <w:szCs w:val="24"/>
        </w:rPr>
        <w:t>, 33(1), 82–90.</w:t>
      </w:r>
    </w:p>
    <w:p w14:paraId="08B43285"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Putrevu</w:t>
      </w:r>
      <w:proofErr w:type="spellEnd"/>
      <w:r>
        <w:rPr>
          <w:rFonts w:ascii="Times New Roman" w:eastAsia="Times New Roman" w:hAnsi="Times New Roman" w:cs="Times New Roman"/>
          <w:color w:val="000000"/>
          <w:sz w:val="24"/>
          <w:szCs w:val="24"/>
        </w:rPr>
        <w:t xml:space="preserve">, S., Tan, J., &amp; Lord, K. R. (2004). Consumer responses to complex advertisements: The moderating role of need for cognition, knowledge, and gender. </w:t>
      </w:r>
      <w:r>
        <w:rPr>
          <w:rFonts w:ascii="Times New Roman" w:eastAsia="Times New Roman" w:hAnsi="Times New Roman" w:cs="Times New Roman"/>
          <w:i/>
          <w:color w:val="000000"/>
          <w:sz w:val="24"/>
          <w:szCs w:val="24"/>
        </w:rPr>
        <w:t>Journal of Current Issues &amp; Research in Advertising</w:t>
      </w:r>
      <w:r>
        <w:rPr>
          <w:rFonts w:ascii="Times New Roman" w:eastAsia="Times New Roman" w:hAnsi="Times New Roman" w:cs="Times New Roman"/>
          <w:color w:val="000000"/>
          <w:sz w:val="24"/>
          <w:szCs w:val="24"/>
        </w:rPr>
        <w:t xml:space="preserve">, 26(1), 9–24. </w:t>
      </w:r>
    </w:p>
    <w:p w14:paraId="0402C162"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Raghunathan, R., Naylor, R. W., &amp; Hoyer, W. D. (2006). The unhealthy = tasty intuition and its effects on taste inferences, enjoyment, and choice of food products. </w:t>
      </w:r>
      <w:r>
        <w:rPr>
          <w:rFonts w:ascii="Times New Roman" w:eastAsia="Times New Roman" w:hAnsi="Times New Roman" w:cs="Times New Roman"/>
          <w:i/>
          <w:color w:val="000000"/>
          <w:sz w:val="24"/>
          <w:szCs w:val="24"/>
        </w:rPr>
        <w:t>Journal of Marketing</w:t>
      </w:r>
      <w:r>
        <w:rPr>
          <w:rFonts w:ascii="Times New Roman" w:eastAsia="Times New Roman" w:hAnsi="Times New Roman" w:cs="Times New Roman"/>
          <w:color w:val="000000"/>
          <w:sz w:val="24"/>
          <w:szCs w:val="24"/>
        </w:rPr>
        <w:t>, 70(4), 170–184.</w:t>
      </w:r>
    </w:p>
    <w:p w14:paraId="78C16E64"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Raufeisen, X., Wulf, L., </w:t>
      </w:r>
      <w:proofErr w:type="spellStart"/>
      <w:r>
        <w:rPr>
          <w:rFonts w:ascii="Times New Roman" w:eastAsia="Times New Roman" w:hAnsi="Times New Roman" w:cs="Times New Roman"/>
          <w:color w:val="000000"/>
          <w:sz w:val="24"/>
          <w:szCs w:val="24"/>
        </w:rPr>
        <w:t>Köcher</w:t>
      </w:r>
      <w:proofErr w:type="spellEnd"/>
      <w:r>
        <w:rPr>
          <w:rFonts w:ascii="Times New Roman" w:eastAsia="Times New Roman" w:hAnsi="Times New Roman" w:cs="Times New Roman"/>
          <w:color w:val="000000"/>
          <w:sz w:val="24"/>
          <w:szCs w:val="24"/>
        </w:rPr>
        <w:t xml:space="preserve">, S., Faupel, U., &amp; </w:t>
      </w:r>
      <w:proofErr w:type="spellStart"/>
      <w:r>
        <w:rPr>
          <w:rFonts w:ascii="Times New Roman" w:eastAsia="Times New Roman" w:hAnsi="Times New Roman" w:cs="Times New Roman"/>
          <w:color w:val="000000"/>
          <w:sz w:val="24"/>
          <w:szCs w:val="24"/>
        </w:rPr>
        <w:t>Holzmüller</w:t>
      </w:r>
      <w:proofErr w:type="spellEnd"/>
      <w:r>
        <w:rPr>
          <w:rFonts w:ascii="Times New Roman" w:eastAsia="Times New Roman" w:hAnsi="Times New Roman" w:cs="Times New Roman"/>
          <w:color w:val="000000"/>
          <w:sz w:val="24"/>
          <w:szCs w:val="24"/>
        </w:rPr>
        <w:t xml:space="preserve">, H. H. (2019). Spillover effects in marketing: Integrating core research domains. </w:t>
      </w:r>
      <w:r>
        <w:rPr>
          <w:rFonts w:ascii="Times New Roman" w:eastAsia="Times New Roman" w:hAnsi="Times New Roman" w:cs="Times New Roman"/>
          <w:i/>
          <w:color w:val="000000"/>
          <w:sz w:val="24"/>
          <w:szCs w:val="24"/>
        </w:rPr>
        <w:t>AMS Review</w:t>
      </w:r>
      <w:r>
        <w:rPr>
          <w:rFonts w:ascii="Times New Roman" w:eastAsia="Times New Roman" w:hAnsi="Times New Roman" w:cs="Times New Roman"/>
          <w:color w:val="000000"/>
          <w:sz w:val="24"/>
          <w:szCs w:val="24"/>
        </w:rPr>
        <w:t>, 9, 249–267.</w:t>
      </w:r>
    </w:p>
    <w:p w14:paraId="2FB4EF76"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Schwarz, N. (2004). Metacognitive experiences in consumer judgment and decision making. </w:t>
      </w:r>
      <w:r>
        <w:rPr>
          <w:rFonts w:ascii="Times New Roman" w:eastAsia="Times New Roman" w:hAnsi="Times New Roman" w:cs="Times New Roman"/>
          <w:i/>
          <w:color w:val="000000"/>
          <w:sz w:val="24"/>
          <w:szCs w:val="24"/>
        </w:rPr>
        <w:t>Journal of Consumer Psychology</w:t>
      </w:r>
      <w:r>
        <w:rPr>
          <w:rFonts w:ascii="Times New Roman" w:eastAsia="Times New Roman" w:hAnsi="Times New Roman" w:cs="Times New Roman"/>
          <w:color w:val="000000"/>
          <w:sz w:val="24"/>
          <w:szCs w:val="24"/>
        </w:rPr>
        <w:t>, 14(4), 332–348.</w:t>
      </w:r>
    </w:p>
    <w:p w14:paraId="4B534261"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Scott, L. M. (1994). Images in advertising: The need for a theory of visual rhetoric. </w:t>
      </w:r>
      <w:r>
        <w:rPr>
          <w:rFonts w:ascii="Times New Roman" w:eastAsia="Times New Roman" w:hAnsi="Times New Roman" w:cs="Times New Roman"/>
          <w:i/>
          <w:color w:val="000000"/>
          <w:sz w:val="24"/>
          <w:szCs w:val="24"/>
        </w:rPr>
        <w:t>Journal of Consumer Research</w:t>
      </w:r>
      <w:r>
        <w:rPr>
          <w:rFonts w:ascii="Times New Roman" w:eastAsia="Times New Roman" w:hAnsi="Times New Roman" w:cs="Times New Roman"/>
          <w:color w:val="000000"/>
          <w:sz w:val="24"/>
          <w:szCs w:val="24"/>
        </w:rPr>
        <w:t>, 21(2), 252–273.</w:t>
      </w:r>
    </w:p>
    <w:p w14:paraId="54266C23"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 A., &amp; Berger, J. (2012). How attribute quantity influences option choice. </w:t>
      </w:r>
      <w:r>
        <w:rPr>
          <w:rFonts w:ascii="Times New Roman" w:eastAsia="Times New Roman" w:hAnsi="Times New Roman" w:cs="Times New Roman"/>
          <w:i/>
          <w:color w:val="000000"/>
          <w:sz w:val="24"/>
          <w:szCs w:val="24"/>
        </w:rPr>
        <w:t>Journal of Marketing Research</w:t>
      </w:r>
      <w:r>
        <w:rPr>
          <w:rFonts w:ascii="Times New Roman" w:eastAsia="Times New Roman" w:hAnsi="Times New Roman" w:cs="Times New Roman"/>
          <w:color w:val="000000"/>
          <w:sz w:val="24"/>
          <w:szCs w:val="24"/>
        </w:rPr>
        <w:t>, 49(6), 942–952.</w:t>
      </w:r>
    </w:p>
    <w:p w14:paraId="610F5FF1"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Sela, A., Berger, J., &amp; Kim, J. (2017). How self-control shapes the meaning of choice. </w:t>
      </w:r>
      <w:r>
        <w:rPr>
          <w:rFonts w:ascii="Times New Roman" w:eastAsia="Times New Roman" w:hAnsi="Times New Roman" w:cs="Times New Roman"/>
          <w:i/>
          <w:color w:val="000000"/>
          <w:sz w:val="24"/>
          <w:szCs w:val="24"/>
        </w:rPr>
        <w:t>Journal of Consumer Research</w:t>
      </w:r>
      <w:r>
        <w:rPr>
          <w:rFonts w:ascii="Times New Roman" w:eastAsia="Times New Roman" w:hAnsi="Times New Roman" w:cs="Times New Roman"/>
          <w:color w:val="000000"/>
          <w:sz w:val="24"/>
          <w:szCs w:val="24"/>
        </w:rPr>
        <w:t>, 44(4), 724–737.</w:t>
      </w:r>
    </w:p>
    <w:p w14:paraId="2D6FC871" w14:textId="5D2A1FEA" w:rsidR="00300A4E" w:rsidRDefault="00300A4E">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sidRPr="00300A4E">
        <w:rPr>
          <w:rFonts w:ascii="Times New Roman" w:eastAsia="Times New Roman" w:hAnsi="Times New Roman" w:cs="Times New Roman"/>
          <w:color w:val="000000"/>
          <w:sz w:val="24"/>
          <w:szCs w:val="24"/>
        </w:rPr>
        <w:t xml:space="preserve">Sela, A., Hadar, L., Morgan, S., &amp; </w:t>
      </w:r>
      <w:proofErr w:type="spellStart"/>
      <w:r w:rsidRPr="00300A4E">
        <w:rPr>
          <w:rFonts w:ascii="Times New Roman" w:eastAsia="Times New Roman" w:hAnsi="Times New Roman" w:cs="Times New Roman"/>
          <w:color w:val="000000"/>
          <w:sz w:val="24"/>
          <w:szCs w:val="24"/>
        </w:rPr>
        <w:t>Maimaran</w:t>
      </w:r>
      <w:proofErr w:type="spellEnd"/>
      <w:r w:rsidRPr="00300A4E">
        <w:rPr>
          <w:rFonts w:ascii="Times New Roman" w:eastAsia="Times New Roman" w:hAnsi="Times New Roman" w:cs="Times New Roman"/>
          <w:color w:val="000000"/>
          <w:sz w:val="24"/>
          <w:szCs w:val="24"/>
        </w:rPr>
        <w:t>, M. (2019). Variety‐seeking and perceived expertise. </w:t>
      </w:r>
      <w:r w:rsidRPr="00300A4E">
        <w:rPr>
          <w:rFonts w:ascii="Times New Roman" w:eastAsia="Times New Roman" w:hAnsi="Times New Roman" w:cs="Times New Roman"/>
          <w:i/>
          <w:iCs/>
          <w:color w:val="000000"/>
          <w:sz w:val="24"/>
          <w:szCs w:val="24"/>
        </w:rPr>
        <w:t>Journal of Consumer Psychology</w:t>
      </w:r>
      <w:r w:rsidRPr="00300A4E">
        <w:rPr>
          <w:rFonts w:ascii="Times New Roman" w:eastAsia="Times New Roman" w:hAnsi="Times New Roman" w:cs="Times New Roman"/>
          <w:color w:val="000000"/>
          <w:sz w:val="24"/>
          <w:szCs w:val="24"/>
        </w:rPr>
        <w:t>, </w:t>
      </w:r>
      <w:r w:rsidRPr="00300A4E">
        <w:rPr>
          <w:rFonts w:ascii="Times New Roman" w:eastAsia="Times New Roman" w:hAnsi="Times New Roman" w:cs="Times New Roman"/>
          <w:i/>
          <w:iCs/>
          <w:color w:val="000000"/>
          <w:sz w:val="24"/>
          <w:szCs w:val="24"/>
        </w:rPr>
        <w:t>29</w:t>
      </w:r>
      <w:r w:rsidRPr="00300A4E">
        <w:rPr>
          <w:rFonts w:ascii="Times New Roman" w:eastAsia="Times New Roman" w:hAnsi="Times New Roman" w:cs="Times New Roman"/>
          <w:color w:val="000000"/>
          <w:sz w:val="24"/>
          <w:szCs w:val="24"/>
        </w:rPr>
        <w:t>(4), 671-679.</w:t>
      </w:r>
    </w:p>
    <w:p w14:paraId="25E0899A"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Shankar, M. U., Levitan, C. A., Prescott, J., &amp; Spence, C. (2009). The influence of color and label information on flavor perception. </w:t>
      </w:r>
      <w:r>
        <w:rPr>
          <w:rFonts w:ascii="Times New Roman" w:eastAsia="Times New Roman" w:hAnsi="Times New Roman" w:cs="Times New Roman"/>
          <w:i/>
          <w:color w:val="000000"/>
          <w:sz w:val="24"/>
          <w:szCs w:val="24"/>
        </w:rPr>
        <w:t>Chemosensory Perception</w:t>
      </w:r>
      <w:r>
        <w:rPr>
          <w:rFonts w:ascii="Times New Roman" w:eastAsia="Times New Roman" w:hAnsi="Times New Roman" w:cs="Times New Roman"/>
          <w:color w:val="000000"/>
          <w:sz w:val="24"/>
          <w:szCs w:val="24"/>
        </w:rPr>
        <w:t>, 2(2), 53–58.</w:t>
      </w:r>
    </w:p>
    <w:p w14:paraId="320BA5BF"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 L., Wan, E. W., &amp; Jiang, Y. (2019). Filling an empty self: The impact of social exclusion on consumer preference for visual density. </w:t>
      </w:r>
      <w:r>
        <w:rPr>
          <w:rFonts w:ascii="Times New Roman" w:eastAsia="Times New Roman" w:hAnsi="Times New Roman" w:cs="Times New Roman"/>
          <w:i/>
          <w:color w:val="000000"/>
          <w:sz w:val="24"/>
          <w:szCs w:val="24"/>
        </w:rPr>
        <w:t>Journal of Consumer Research</w:t>
      </w:r>
      <w:r>
        <w:rPr>
          <w:rFonts w:ascii="Times New Roman" w:eastAsia="Times New Roman" w:hAnsi="Times New Roman" w:cs="Times New Roman"/>
          <w:color w:val="000000"/>
          <w:sz w:val="24"/>
          <w:szCs w:val="24"/>
        </w:rPr>
        <w:t>, 46, 808–824.</w:t>
      </w:r>
    </w:p>
    <w:p w14:paraId="03E27133"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Tencel. (2023). Lenzing survey shows that ‘transparency’ is key for clothing and home textiles brands to win consumer trust and confidence, with ‘eco-friendly’ and ‘biodegradable’ being favorable terms that increase likelihood of purchase. </w:t>
      </w:r>
      <w:hyperlink r:id="rId42">
        <w:r>
          <w:rPr>
            <w:rFonts w:ascii="Times New Roman" w:eastAsia="Times New Roman" w:hAnsi="Times New Roman" w:cs="Times New Roman"/>
            <w:i/>
            <w:color w:val="000000"/>
            <w:sz w:val="24"/>
            <w:szCs w:val="24"/>
            <w:u w:val="single"/>
          </w:rPr>
          <w:t>https://www.tencel.com/news-and-events/lenzing-survey-shows-that-transparency-is-key-for-clothing-and-home-textiles-brands-to-win-consumer-trust-and-confidence-with-eco-friendly-and-biodegradable-being-favorable-terms-that-increase-likelihood-of-purchase</w:t>
        </w:r>
      </w:hyperlink>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
    <w:p w14:paraId="211D58B8"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Tinio, P. P. L., &amp; Leder, H. (2009). Just how stable are stable aesthetic features? Symmetry, complexity, and the jaws of massive familiarization. </w:t>
      </w:r>
      <w:r>
        <w:rPr>
          <w:rFonts w:ascii="Times New Roman" w:eastAsia="Times New Roman" w:hAnsi="Times New Roman" w:cs="Times New Roman"/>
          <w:i/>
          <w:color w:val="000000"/>
          <w:sz w:val="24"/>
          <w:szCs w:val="24"/>
        </w:rPr>
        <w:t xml:space="preserve">Acta </w:t>
      </w:r>
      <w:proofErr w:type="spellStart"/>
      <w:r>
        <w:rPr>
          <w:rFonts w:ascii="Times New Roman" w:eastAsia="Times New Roman" w:hAnsi="Times New Roman" w:cs="Times New Roman"/>
          <w:i/>
          <w:color w:val="000000"/>
          <w:sz w:val="24"/>
          <w:szCs w:val="24"/>
        </w:rPr>
        <w:t>Psychologica</w:t>
      </w:r>
      <w:proofErr w:type="spellEnd"/>
      <w:r>
        <w:rPr>
          <w:rFonts w:ascii="Times New Roman" w:eastAsia="Times New Roman" w:hAnsi="Times New Roman" w:cs="Times New Roman"/>
          <w:color w:val="000000"/>
          <w:sz w:val="24"/>
          <w:szCs w:val="24"/>
        </w:rPr>
        <w:t>, 130(3), 241–250.</w:t>
      </w:r>
    </w:p>
    <w:p w14:paraId="7DE13E3E"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Ton, L. A. N., Smith, R. K., &amp; Sevilla, J. (2024). Symbolically simple: How simple packaging design influences willingness to pay for consumable products</w:t>
      </w:r>
      <w:r>
        <w:rPr>
          <w:rFonts w:ascii="Times New Roman" w:eastAsia="Times New Roman" w:hAnsi="Times New Roman" w:cs="Times New Roman"/>
          <w:i/>
          <w:color w:val="000000"/>
          <w:sz w:val="24"/>
          <w:szCs w:val="24"/>
        </w:rPr>
        <w:t>. Journal of Marketing</w:t>
      </w:r>
      <w:r>
        <w:rPr>
          <w:rFonts w:ascii="Times New Roman" w:eastAsia="Times New Roman" w:hAnsi="Times New Roman" w:cs="Times New Roman"/>
          <w:color w:val="000000"/>
          <w:sz w:val="24"/>
          <w:szCs w:val="24"/>
        </w:rPr>
        <w:t>, 88(2), 1–68.</w:t>
      </w:r>
    </w:p>
    <w:p w14:paraId="451DC197"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Tukker, A., </w:t>
      </w:r>
      <w:proofErr w:type="spellStart"/>
      <w:r>
        <w:rPr>
          <w:rFonts w:ascii="Times New Roman" w:eastAsia="Times New Roman" w:hAnsi="Times New Roman" w:cs="Times New Roman"/>
          <w:color w:val="000000"/>
          <w:sz w:val="24"/>
          <w:szCs w:val="24"/>
        </w:rPr>
        <w:t>Bulavskaya</w:t>
      </w:r>
      <w:proofErr w:type="spellEnd"/>
      <w:r>
        <w:rPr>
          <w:rFonts w:ascii="Times New Roman" w:eastAsia="Times New Roman" w:hAnsi="Times New Roman" w:cs="Times New Roman"/>
          <w:color w:val="000000"/>
          <w:sz w:val="24"/>
          <w:szCs w:val="24"/>
        </w:rPr>
        <w:t xml:space="preserve">, T., Giljum, S., de Koning, A., Lutter, S., Simas, M., Stadler, K., &amp; Wood, R. (2016). Environmental and resource footprints in a global context: Europe’s structural deficit in resource endowments. </w:t>
      </w:r>
      <w:r>
        <w:rPr>
          <w:rFonts w:ascii="Times New Roman" w:eastAsia="Times New Roman" w:hAnsi="Times New Roman" w:cs="Times New Roman"/>
          <w:i/>
          <w:color w:val="000000"/>
          <w:sz w:val="24"/>
          <w:szCs w:val="24"/>
        </w:rPr>
        <w:t>Global Environmental Change</w:t>
      </w:r>
      <w:r>
        <w:rPr>
          <w:rFonts w:ascii="Times New Roman" w:eastAsia="Times New Roman" w:hAnsi="Times New Roman" w:cs="Times New Roman"/>
          <w:color w:val="000000"/>
          <w:sz w:val="24"/>
          <w:szCs w:val="24"/>
        </w:rPr>
        <w:t>, 40, 171–181.</w:t>
      </w:r>
    </w:p>
    <w:p w14:paraId="21989B71"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VanBergen, N., Irmak, C., &amp; Sevilla, J. (2020). Product entitativity: How the presence of product replicates increases perceived and actual product efficacy. </w:t>
      </w:r>
      <w:r>
        <w:rPr>
          <w:rFonts w:ascii="Times New Roman" w:eastAsia="Times New Roman" w:hAnsi="Times New Roman" w:cs="Times New Roman"/>
          <w:i/>
          <w:color w:val="000000"/>
          <w:sz w:val="24"/>
          <w:szCs w:val="24"/>
        </w:rPr>
        <w:t>Journal of Consumer Research</w:t>
      </w:r>
      <w:r>
        <w:rPr>
          <w:rFonts w:ascii="Times New Roman" w:eastAsia="Times New Roman" w:hAnsi="Times New Roman" w:cs="Times New Roman"/>
          <w:color w:val="000000"/>
          <w:sz w:val="24"/>
          <w:szCs w:val="24"/>
        </w:rPr>
        <w:t>, 47(August), 192–214.</w:t>
      </w:r>
    </w:p>
    <w:p w14:paraId="769012DE"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Van Geert, E., &amp; </w:t>
      </w:r>
      <w:proofErr w:type="spellStart"/>
      <w:r>
        <w:rPr>
          <w:rFonts w:ascii="Times New Roman" w:eastAsia="Times New Roman" w:hAnsi="Times New Roman" w:cs="Times New Roman"/>
          <w:color w:val="000000"/>
          <w:sz w:val="24"/>
          <w:szCs w:val="24"/>
        </w:rPr>
        <w:t>Wagemans</w:t>
      </w:r>
      <w:proofErr w:type="spellEnd"/>
      <w:r>
        <w:rPr>
          <w:rFonts w:ascii="Times New Roman" w:eastAsia="Times New Roman" w:hAnsi="Times New Roman" w:cs="Times New Roman"/>
          <w:color w:val="000000"/>
          <w:sz w:val="24"/>
          <w:szCs w:val="24"/>
        </w:rPr>
        <w:t xml:space="preserve">, J. (2020). Order, complexity, and aesthetic appreciation. </w:t>
      </w:r>
      <w:r>
        <w:rPr>
          <w:rFonts w:ascii="Times New Roman" w:eastAsia="Times New Roman" w:hAnsi="Times New Roman" w:cs="Times New Roman"/>
          <w:i/>
          <w:color w:val="000000"/>
          <w:sz w:val="24"/>
          <w:szCs w:val="24"/>
        </w:rPr>
        <w:t>Psychology of Aesthetics, Creativity, and the Arts</w:t>
      </w:r>
      <w:r>
        <w:rPr>
          <w:rFonts w:ascii="Times New Roman" w:eastAsia="Times New Roman" w:hAnsi="Times New Roman" w:cs="Times New Roman"/>
          <w:color w:val="000000"/>
          <w:sz w:val="24"/>
          <w:szCs w:val="24"/>
        </w:rPr>
        <w:t>, 14(2), 135–154.</w:t>
      </w:r>
    </w:p>
    <w:p w14:paraId="1030C02B"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Yang, Y., Li, X., &amp; </w:t>
      </w:r>
      <w:proofErr w:type="spellStart"/>
      <w:r>
        <w:rPr>
          <w:rFonts w:ascii="Times New Roman" w:eastAsia="Times New Roman" w:hAnsi="Times New Roman" w:cs="Times New Roman"/>
          <w:color w:val="000000"/>
          <w:sz w:val="24"/>
          <w:szCs w:val="24"/>
        </w:rPr>
        <w:t>Hsee</w:t>
      </w:r>
      <w:proofErr w:type="spellEnd"/>
      <w:r>
        <w:rPr>
          <w:rFonts w:ascii="Times New Roman" w:eastAsia="Times New Roman" w:hAnsi="Times New Roman" w:cs="Times New Roman"/>
          <w:color w:val="000000"/>
          <w:sz w:val="24"/>
          <w:szCs w:val="24"/>
        </w:rPr>
        <w:t xml:space="preserve">, C. K. (2023). Relevance insensitivity: A framework of psychological biases in consumer behavior and beyond. </w:t>
      </w:r>
      <w:r>
        <w:rPr>
          <w:rFonts w:ascii="Times New Roman" w:eastAsia="Times New Roman" w:hAnsi="Times New Roman" w:cs="Times New Roman"/>
          <w:i/>
          <w:color w:val="000000"/>
          <w:sz w:val="24"/>
          <w:szCs w:val="24"/>
        </w:rPr>
        <w:t>Consumer Psychology Review</w:t>
      </w:r>
      <w:r>
        <w:rPr>
          <w:rFonts w:ascii="Times New Roman" w:eastAsia="Times New Roman" w:hAnsi="Times New Roman" w:cs="Times New Roman"/>
          <w:color w:val="000000"/>
          <w:sz w:val="24"/>
          <w:szCs w:val="24"/>
        </w:rPr>
        <w:t>, 6(1), 121–132.</w:t>
      </w:r>
    </w:p>
    <w:p w14:paraId="3948EC4A"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Zane, D. M., Smith, R. W., &amp; Reczek, R. W. (2020). The meaning of distraction: How metacognitive inferences from distraction during multitasking affect brand evaluations. </w:t>
      </w:r>
      <w:r>
        <w:rPr>
          <w:rFonts w:ascii="Times New Roman" w:eastAsia="Times New Roman" w:hAnsi="Times New Roman" w:cs="Times New Roman"/>
          <w:i/>
          <w:color w:val="000000"/>
          <w:sz w:val="24"/>
          <w:szCs w:val="24"/>
        </w:rPr>
        <w:t>Journal of Consumer Research</w:t>
      </w:r>
      <w:r>
        <w:rPr>
          <w:rFonts w:ascii="Times New Roman" w:eastAsia="Times New Roman" w:hAnsi="Times New Roman" w:cs="Times New Roman"/>
          <w:color w:val="000000"/>
          <w:sz w:val="24"/>
          <w:szCs w:val="24"/>
        </w:rPr>
        <w:t>, 46(5), 974–994.</w:t>
      </w:r>
    </w:p>
    <w:p w14:paraId="3D9DB557" w14:textId="77777777" w:rsidR="00391B4B" w:rsidRDefault="006E2B95">
      <w:pPr>
        <w:pBdr>
          <w:top w:val="nil"/>
          <w:left w:val="nil"/>
          <w:bottom w:val="nil"/>
          <w:right w:val="nil"/>
          <w:between w:val="nil"/>
        </w:pBdr>
        <w:spacing w:after="0" w:line="480" w:lineRule="auto"/>
        <w:ind w:left="480" w:hanging="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Zhang, Y., Kwak, H., </w:t>
      </w:r>
      <w:proofErr w:type="spellStart"/>
      <w:r>
        <w:rPr>
          <w:rFonts w:ascii="Times New Roman" w:eastAsia="Times New Roman" w:hAnsi="Times New Roman" w:cs="Times New Roman"/>
          <w:color w:val="000000"/>
          <w:sz w:val="24"/>
          <w:szCs w:val="24"/>
        </w:rPr>
        <w:t>Puzakova</w:t>
      </w:r>
      <w:proofErr w:type="spellEnd"/>
      <w:r>
        <w:rPr>
          <w:rFonts w:ascii="Times New Roman" w:eastAsia="Times New Roman" w:hAnsi="Times New Roman" w:cs="Times New Roman"/>
          <w:color w:val="000000"/>
          <w:sz w:val="24"/>
          <w:szCs w:val="24"/>
        </w:rPr>
        <w:t>, M., &amp; Taylor, C. R. (2025). Turning right: The impact of text rotation (left vs. right) on consumer product preferences. </w:t>
      </w:r>
      <w:r>
        <w:rPr>
          <w:rFonts w:ascii="Times New Roman" w:eastAsia="Times New Roman" w:hAnsi="Times New Roman" w:cs="Times New Roman"/>
          <w:i/>
          <w:color w:val="000000"/>
          <w:sz w:val="24"/>
          <w:szCs w:val="24"/>
        </w:rPr>
        <w:t>Journal of Advertising</w:t>
      </w:r>
      <w:r>
        <w:rPr>
          <w:rFonts w:ascii="Times New Roman" w:eastAsia="Times New Roman" w:hAnsi="Times New Roman" w:cs="Times New Roman"/>
          <w:color w:val="000000"/>
          <w:sz w:val="24"/>
          <w:szCs w:val="24"/>
        </w:rPr>
        <w:t>, 1–19.</w:t>
      </w:r>
    </w:p>
    <w:p w14:paraId="66429801" w14:textId="77777777" w:rsidR="00391B4B" w:rsidRDefault="006E2B95">
      <w:pPr>
        <w:spacing w:after="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X., Chen, J., Ma, C., &amp; Jiang, Y. (2024). Simpler is greener: The impact of packaging visual complexity on products' eco-friendliness perception. </w:t>
      </w:r>
      <w:r>
        <w:rPr>
          <w:rFonts w:ascii="Times New Roman" w:eastAsia="Times New Roman" w:hAnsi="Times New Roman" w:cs="Times New Roman"/>
          <w:i/>
          <w:sz w:val="24"/>
          <w:szCs w:val="24"/>
        </w:rPr>
        <w:t>Psychology &amp; Marketing</w:t>
      </w:r>
      <w:r>
        <w:rPr>
          <w:rFonts w:ascii="Times New Roman" w:eastAsia="Times New Roman" w:hAnsi="Times New Roman" w:cs="Times New Roman"/>
          <w:sz w:val="24"/>
          <w:szCs w:val="24"/>
        </w:rPr>
        <w:t xml:space="preserve">, 41(12), 2992–3008. </w:t>
      </w:r>
    </w:p>
    <w:p w14:paraId="23CE508E" w14:textId="77777777" w:rsidR="00391B4B" w:rsidRDefault="006E2B95">
      <w:pPr>
        <w:spacing w:after="0" w:line="480" w:lineRule="auto"/>
        <w:ind w:left="480"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Y., Jiang, J., Gong, X., &amp; Wang, J. (2023). Simple = authentic: The effect of visually simple package design on perceived brand authenticity and brand choice. </w:t>
      </w:r>
      <w:r>
        <w:rPr>
          <w:rFonts w:ascii="Times New Roman" w:eastAsia="Times New Roman" w:hAnsi="Times New Roman" w:cs="Times New Roman"/>
          <w:i/>
          <w:sz w:val="24"/>
          <w:szCs w:val="24"/>
        </w:rPr>
        <w:t>Journal of Business Research</w:t>
      </w:r>
      <w:r>
        <w:rPr>
          <w:rFonts w:ascii="Times New Roman" w:eastAsia="Times New Roman" w:hAnsi="Times New Roman" w:cs="Times New Roman"/>
          <w:sz w:val="24"/>
          <w:szCs w:val="24"/>
        </w:rPr>
        <w:t>, 166, 114078.</w:t>
      </w:r>
    </w:p>
    <w:p w14:paraId="3CF52A88" w14:textId="77777777" w:rsidR="00391B4B" w:rsidRDefault="006E2B95">
      <w:pPr>
        <w:spacing w:after="0" w:line="480" w:lineRule="auto"/>
        <w:ind w:left="480"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Winkielman</w:t>
      </w:r>
      <w:proofErr w:type="spellEnd"/>
      <w:r>
        <w:rPr>
          <w:rFonts w:ascii="Times New Roman" w:eastAsia="Times New Roman" w:hAnsi="Times New Roman" w:cs="Times New Roman"/>
          <w:sz w:val="24"/>
          <w:szCs w:val="24"/>
        </w:rPr>
        <w:t xml:space="preserve">, P. &amp; Schwarz, N. (2001). How pleasant was your childhood? Beliefs about memory shape inferences from experienced difficulty of recall. </w:t>
      </w:r>
      <w:r>
        <w:rPr>
          <w:rFonts w:ascii="Times New Roman" w:eastAsia="Times New Roman" w:hAnsi="Times New Roman" w:cs="Times New Roman"/>
          <w:i/>
          <w:sz w:val="24"/>
          <w:szCs w:val="24"/>
        </w:rPr>
        <w:t>Psychological Science</w:t>
      </w:r>
      <w:r>
        <w:rPr>
          <w:rFonts w:ascii="Times New Roman" w:eastAsia="Times New Roman" w:hAnsi="Times New Roman" w:cs="Times New Roman"/>
          <w:sz w:val="24"/>
          <w:szCs w:val="24"/>
        </w:rPr>
        <w:t>, 12(2), 176–179.</w:t>
      </w:r>
    </w:p>
    <w:sectPr w:rsidR="00391B4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6994B" w14:textId="77777777" w:rsidR="006311E2" w:rsidRDefault="006311E2">
      <w:pPr>
        <w:spacing w:after="0" w:line="240" w:lineRule="auto"/>
      </w:pPr>
      <w:r>
        <w:separator/>
      </w:r>
    </w:p>
  </w:endnote>
  <w:endnote w:type="continuationSeparator" w:id="0">
    <w:p w14:paraId="0CF9702C" w14:textId="77777777" w:rsidR="006311E2" w:rsidRDefault="00631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ebkit-standard">
    <w:altName w:val="Cambria"/>
    <w:panose1 w:val="020B06040202020202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8795E" w14:textId="77777777" w:rsidR="00391B4B" w:rsidRDefault="006E2B9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4012BB">
      <w:rPr>
        <w:rFonts w:ascii="Times New Roman" w:eastAsia="Times New Roman" w:hAnsi="Times New Roman" w:cs="Times New Roman"/>
        <w:noProof/>
        <w:color w:val="000000"/>
        <w:sz w:val="24"/>
        <w:szCs w:val="24"/>
      </w:rPr>
      <w:t>54</w:t>
    </w:r>
    <w:r>
      <w:rPr>
        <w:rFonts w:ascii="Times New Roman" w:eastAsia="Times New Roman" w:hAnsi="Times New Roman" w:cs="Times New Roman"/>
        <w:color w:val="000000"/>
        <w:sz w:val="24"/>
        <w:szCs w:val="24"/>
      </w:rPr>
      <w:fldChar w:fldCharType="end"/>
    </w:r>
  </w:p>
  <w:p w14:paraId="0614F5ED" w14:textId="77777777" w:rsidR="00391B4B" w:rsidRDefault="00391B4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7F157" w14:textId="77777777" w:rsidR="006311E2" w:rsidRDefault="006311E2">
      <w:pPr>
        <w:spacing w:after="0" w:line="240" w:lineRule="auto"/>
      </w:pPr>
      <w:r>
        <w:separator/>
      </w:r>
    </w:p>
  </w:footnote>
  <w:footnote w:type="continuationSeparator" w:id="0">
    <w:p w14:paraId="4E2502CC" w14:textId="77777777" w:rsidR="006311E2" w:rsidRDefault="006311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B4B"/>
    <w:rsid w:val="00034DD6"/>
    <w:rsid w:val="00052798"/>
    <w:rsid w:val="000628B7"/>
    <w:rsid w:val="000707E4"/>
    <w:rsid w:val="000D32B6"/>
    <w:rsid w:val="000F3874"/>
    <w:rsid w:val="00106E95"/>
    <w:rsid w:val="001117C9"/>
    <w:rsid w:val="001214A7"/>
    <w:rsid w:val="001413A0"/>
    <w:rsid w:val="00157236"/>
    <w:rsid w:val="001C6D80"/>
    <w:rsid w:val="001D6529"/>
    <w:rsid w:val="00214316"/>
    <w:rsid w:val="00223395"/>
    <w:rsid w:val="00271F3A"/>
    <w:rsid w:val="00276B7A"/>
    <w:rsid w:val="002A49E0"/>
    <w:rsid w:val="002B7821"/>
    <w:rsid w:val="002D4032"/>
    <w:rsid w:val="002F59F4"/>
    <w:rsid w:val="00300A4E"/>
    <w:rsid w:val="0030344F"/>
    <w:rsid w:val="003147C4"/>
    <w:rsid w:val="00391B4B"/>
    <w:rsid w:val="003C683C"/>
    <w:rsid w:val="003E6DCD"/>
    <w:rsid w:val="003F0243"/>
    <w:rsid w:val="003F15D4"/>
    <w:rsid w:val="004012BB"/>
    <w:rsid w:val="004255A0"/>
    <w:rsid w:val="0044181E"/>
    <w:rsid w:val="00451327"/>
    <w:rsid w:val="00455DAB"/>
    <w:rsid w:val="00464CBE"/>
    <w:rsid w:val="004A733C"/>
    <w:rsid w:val="004B1B9F"/>
    <w:rsid w:val="004C43D4"/>
    <w:rsid w:val="00504C1B"/>
    <w:rsid w:val="00512B66"/>
    <w:rsid w:val="00525841"/>
    <w:rsid w:val="00556F4A"/>
    <w:rsid w:val="005C158E"/>
    <w:rsid w:val="005C28FD"/>
    <w:rsid w:val="005D793E"/>
    <w:rsid w:val="005F6285"/>
    <w:rsid w:val="00604DDA"/>
    <w:rsid w:val="00610B71"/>
    <w:rsid w:val="0061757A"/>
    <w:rsid w:val="00623F7A"/>
    <w:rsid w:val="006311E2"/>
    <w:rsid w:val="0065105D"/>
    <w:rsid w:val="00652171"/>
    <w:rsid w:val="00663E90"/>
    <w:rsid w:val="006A2CE1"/>
    <w:rsid w:val="006B6CF1"/>
    <w:rsid w:val="006C4BAF"/>
    <w:rsid w:val="006E2B95"/>
    <w:rsid w:val="00720BF7"/>
    <w:rsid w:val="00731889"/>
    <w:rsid w:val="007415C4"/>
    <w:rsid w:val="0077313A"/>
    <w:rsid w:val="0077382D"/>
    <w:rsid w:val="007977CF"/>
    <w:rsid w:val="007B3AD8"/>
    <w:rsid w:val="007B44EF"/>
    <w:rsid w:val="007D52A3"/>
    <w:rsid w:val="007E3202"/>
    <w:rsid w:val="00824C0C"/>
    <w:rsid w:val="00865FFF"/>
    <w:rsid w:val="00866334"/>
    <w:rsid w:val="0087224B"/>
    <w:rsid w:val="00890EBA"/>
    <w:rsid w:val="008A4101"/>
    <w:rsid w:val="008C5593"/>
    <w:rsid w:val="008C6CF3"/>
    <w:rsid w:val="008E00E0"/>
    <w:rsid w:val="008E3156"/>
    <w:rsid w:val="00930295"/>
    <w:rsid w:val="00944403"/>
    <w:rsid w:val="00953E0B"/>
    <w:rsid w:val="00A00381"/>
    <w:rsid w:val="00A047F6"/>
    <w:rsid w:val="00A05934"/>
    <w:rsid w:val="00A13C75"/>
    <w:rsid w:val="00A24674"/>
    <w:rsid w:val="00A362AD"/>
    <w:rsid w:val="00A55D42"/>
    <w:rsid w:val="00A67D3E"/>
    <w:rsid w:val="00AA3BFB"/>
    <w:rsid w:val="00AE2FC3"/>
    <w:rsid w:val="00B05013"/>
    <w:rsid w:val="00B14876"/>
    <w:rsid w:val="00B41A86"/>
    <w:rsid w:val="00B420C2"/>
    <w:rsid w:val="00B707DC"/>
    <w:rsid w:val="00B77A4D"/>
    <w:rsid w:val="00B97498"/>
    <w:rsid w:val="00BD7323"/>
    <w:rsid w:val="00BF35C4"/>
    <w:rsid w:val="00C246CE"/>
    <w:rsid w:val="00C345D7"/>
    <w:rsid w:val="00C525F5"/>
    <w:rsid w:val="00C54C52"/>
    <w:rsid w:val="00CA5FBF"/>
    <w:rsid w:val="00CD03F7"/>
    <w:rsid w:val="00CD18BA"/>
    <w:rsid w:val="00CD4C99"/>
    <w:rsid w:val="00D03923"/>
    <w:rsid w:val="00D06C75"/>
    <w:rsid w:val="00D12061"/>
    <w:rsid w:val="00D462A4"/>
    <w:rsid w:val="00D5554D"/>
    <w:rsid w:val="00DA72AD"/>
    <w:rsid w:val="00E36CF6"/>
    <w:rsid w:val="00E37C81"/>
    <w:rsid w:val="00E45FC4"/>
    <w:rsid w:val="00E62041"/>
    <w:rsid w:val="00E7491B"/>
    <w:rsid w:val="00EB6AF3"/>
    <w:rsid w:val="00ED0488"/>
    <w:rsid w:val="00F10418"/>
    <w:rsid w:val="00F17FE6"/>
    <w:rsid w:val="00F807B5"/>
    <w:rsid w:val="00F95299"/>
    <w:rsid w:val="00FB25A6"/>
    <w:rsid w:val="00FB7878"/>
    <w:rsid w:val="00FD349D"/>
    <w:rsid w:val="00FE2B2C"/>
    <w:rsid w:val="00FF1ADF"/>
    <w:rsid w:val="00FF65D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F7DD8"/>
  <w15:docId w15:val="{3CED16D7-F080-A144-9621-03E388688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paragraph" w:styleId="BalloonText">
    <w:name w:val="Balloon Text"/>
    <w:basedOn w:val="Normal"/>
    <w:link w:val="BalloonTextChar"/>
    <w:uiPriority w:val="99"/>
    <w:semiHidden/>
    <w:unhideWhenUsed/>
    <w:rsid w:val="00930295"/>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30295"/>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4A733C"/>
    <w:pPr>
      <w:tabs>
        <w:tab w:val="center" w:pos="4513"/>
        <w:tab w:val="right" w:pos="9026"/>
      </w:tabs>
      <w:snapToGrid w:val="0"/>
    </w:pPr>
  </w:style>
  <w:style w:type="character" w:customStyle="1" w:styleId="HeaderChar">
    <w:name w:val="Header Char"/>
    <w:basedOn w:val="DefaultParagraphFont"/>
    <w:link w:val="Header"/>
    <w:uiPriority w:val="99"/>
    <w:rsid w:val="004A733C"/>
  </w:style>
  <w:style w:type="paragraph" w:styleId="Footer">
    <w:name w:val="footer"/>
    <w:basedOn w:val="Normal"/>
    <w:link w:val="FooterChar"/>
    <w:uiPriority w:val="99"/>
    <w:unhideWhenUsed/>
    <w:rsid w:val="004A733C"/>
    <w:pPr>
      <w:tabs>
        <w:tab w:val="center" w:pos="4513"/>
        <w:tab w:val="right" w:pos="9026"/>
      </w:tabs>
      <w:snapToGrid w:val="0"/>
    </w:pPr>
  </w:style>
  <w:style w:type="character" w:customStyle="1" w:styleId="FooterChar">
    <w:name w:val="Footer Char"/>
    <w:basedOn w:val="DefaultParagraphFont"/>
    <w:link w:val="Footer"/>
    <w:uiPriority w:val="99"/>
    <w:rsid w:val="004A733C"/>
  </w:style>
  <w:style w:type="paragraph" w:styleId="Revision">
    <w:name w:val="Revision"/>
    <w:hidden/>
    <w:uiPriority w:val="99"/>
    <w:semiHidden/>
    <w:rsid w:val="0077313A"/>
    <w:pPr>
      <w:spacing w:after="0" w:line="240" w:lineRule="auto"/>
    </w:pPr>
  </w:style>
  <w:style w:type="character" w:styleId="CommentReference">
    <w:name w:val="annotation reference"/>
    <w:basedOn w:val="DefaultParagraphFont"/>
    <w:uiPriority w:val="99"/>
    <w:semiHidden/>
    <w:unhideWhenUsed/>
    <w:rsid w:val="0087224B"/>
    <w:rPr>
      <w:sz w:val="16"/>
      <w:szCs w:val="16"/>
    </w:rPr>
  </w:style>
  <w:style w:type="paragraph" w:styleId="CommentText">
    <w:name w:val="annotation text"/>
    <w:basedOn w:val="Normal"/>
    <w:link w:val="CommentTextChar"/>
    <w:uiPriority w:val="99"/>
    <w:unhideWhenUsed/>
    <w:rsid w:val="0087224B"/>
    <w:pPr>
      <w:spacing w:line="240" w:lineRule="auto"/>
    </w:pPr>
    <w:rPr>
      <w:sz w:val="20"/>
      <w:szCs w:val="20"/>
    </w:rPr>
  </w:style>
  <w:style w:type="character" w:customStyle="1" w:styleId="CommentTextChar">
    <w:name w:val="Comment Text Char"/>
    <w:basedOn w:val="DefaultParagraphFont"/>
    <w:link w:val="CommentText"/>
    <w:uiPriority w:val="99"/>
    <w:rsid w:val="0087224B"/>
    <w:rPr>
      <w:sz w:val="20"/>
      <w:szCs w:val="20"/>
    </w:rPr>
  </w:style>
  <w:style w:type="paragraph" w:styleId="CommentSubject">
    <w:name w:val="annotation subject"/>
    <w:basedOn w:val="CommentText"/>
    <w:next w:val="CommentText"/>
    <w:link w:val="CommentSubjectChar"/>
    <w:uiPriority w:val="99"/>
    <w:semiHidden/>
    <w:unhideWhenUsed/>
    <w:rsid w:val="0087224B"/>
    <w:rPr>
      <w:b/>
      <w:bCs/>
    </w:rPr>
  </w:style>
  <w:style w:type="character" w:customStyle="1" w:styleId="CommentSubjectChar">
    <w:name w:val="Comment Subject Char"/>
    <w:basedOn w:val="CommentTextChar"/>
    <w:link w:val="CommentSubject"/>
    <w:uiPriority w:val="99"/>
    <w:semiHidden/>
    <w:rsid w:val="008722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spredicted.org/zg3q-cx9c.pdf" TargetMode="External"/><Relationship Id="rId18" Type="http://schemas.openxmlformats.org/officeDocument/2006/relationships/footer" Target="footer1.xml"/><Relationship Id="rId26" Type="http://schemas.openxmlformats.org/officeDocument/2006/relationships/image" Target="media/image8.jpg"/><Relationship Id="rId39" Type="http://schemas.openxmlformats.org/officeDocument/2006/relationships/image" Target="media/image21.jpg"/><Relationship Id="rId21" Type="http://schemas.openxmlformats.org/officeDocument/2006/relationships/image" Target="media/image3.jpg"/><Relationship Id="rId34" Type="http://schemas.openxmlformats.org/officeDocument/2006/relationships/image" Target="media/image16.jpg"/><Relationship Id="rId42" Type="http://schemas.openxmlformats.org/officeDocument/2006/relationships/hyperlink" Target="https://www.tencel.com/news-and-events/lenzing-survey-shows-that-transparency-is-key-for-clothing-and-home-textiles-brands-to-win-consumer-trust-and-confidence-with-eco-friendly-and-biodegradable-being-favorable-terms-that-increase-likelihood-of-purchase" TargetMode="External"/><Relationship Id="rId7" Type="http://schemas.openxmlformats.org/officeDocument/2006/relationships/hyperlink" Target="mailto:felipe.affonso@okstate.edu" TargetMode="External"/><Relationship Id="rId2" Type="http://schemas.openxmlformats.org/officeDocument/2006/relationships/settings" Target="settings.xml"/><Relationship Id="rId16" Type="http://schemas.openxmlformats.org/officeDocument/2006/relationships/hyperlink" Target="https://aspredicted.org/LVC_JW5" TargetMode="External"/><Relationship Id="rId20" Type="http://schemas.openxmlformats.org/officeDocument/2006/relationships/image" Target="media/image2.png"/><Relationship Id="rId29" Type="http://schemas.openxmlformats.org/officeDocument/2006/relationships/image" Target="media/image11.jpg"/><Relationship Id="rId41"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mailto:sryu@wlu.edu" TargetMode="External"/><Relationship Id="rId11" Type="http://schemas.openxmlformats.org/officeDocument/2006/relationships/hyperlink" Target="https://osf.io/h6mk7/?view_only=52d694ee66754a8690ceb221d646052f"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endnotes" Target="endnotes.xml"/><Relationship Id="rId15" Type="http://schemas.openxmlformats.org/officeDocument/2006/relationships/hyperlink" Target="https://aspredicted.org/YLT_Q5Y"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png"/><Relationship Id="rId10" Type="http://schemas.openxmlformats.org/officeDocument/2006/relationships/hyperlink" Target="mailto:sryu@wlu.edu" TargetMode="External"/><Relationship Id="rId19" Type="http://schemas.openxmlformats.org/officeDocument/2006/relationships/image" Target="media/image1.jpg"/><Relationship Id="rId31" Type="http://schemas.openxmlformats.org/officeDocument/2006/relationships/image" Target="media/image13.jp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osf.io/h6mk7/?view_only=52d694ee66754a8690ceb221d646052f" TargetMode="External"/><Relationship Id="rId14" Type="http://schemas.openxmlformats.org/officeDocument/2006/relationships/hyperlink" Target="https://aspredicted.org/b5r2-nr34.pdf"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fontTable" Target="fontTable.xml"/><Relationship Id="rId8" Type="http://schemas.openxmlformats.org/officeDocument/2006/relationships/hyperlink" Target="mailto:aner.sela@warrington.ufl.edu" TargetMode="External"/><Relationship Id="rId3" Type="http://schemas.openxmlformats.org/officeDocument/2006/relationships/webSettings" Target="webSettings.xml"/><Relationship Id="rId12" Type="http://schemas.openxmlformats.org/officeDocument/2006/relationships/hyperlink" Target="https://aspredicted.org/5qrt-mn8y.pdf" TargetMode="External"/><Relationship Id="rId17" Type="http://schemas.openxmlformats.org/officeDocument/2006/relationships/hyperlink" Target="https://aspredicted.org/dbwp-cjxd.pdf" TargetMode="Externa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11874</Words>
  <Characters>67683</Characters>
  <Application>Microsoft Office Word</Application>
  <DocSecurity>0</DocSecurity>
  <Lines>564</Lines>
  <Paragraphs>158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79399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Sela,Aner</cp:lastModifiedBy>
  <cp:revision>2</cp:revision>
  <dcterms:created xsi:type="dcterms:W3CDTF">2025-10-27T15:38:00Z</dcterms:created>
  <dcterms:modified xsi:type="dcterms:W3CDTF">2025-10-27T15:38:00Z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e1905c4d512981d2b2974f57a237c3a110447d9309c127d8409108b73aa3ec8e</vt:lpwstr>
  </property>
</Properties>
</file>